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605DF33" w14:textId="77777777" w:rsidR="003D3686" w:rsidRDefault="00481591" w:rsidP="003D3686">
      <w:pPr>
        <w:autoSpaceDE w:val="0"/>
        <w:autoSpaceDN w:val="0"/>
        <w:adjustRightInd w:val="0"/>
        <w:spacing w:after="0" w:line="360" w:lineRule="auto"/>
        <w:rPr>
          <w:rFonts w:ascii="Times New Roman" w:hAnsi="Times New Roman" w:cs="Times New Roman"/>
          <w:b/>
          <w:bCs/>
          <w:color w:val="0F243E" w:themeColor="text2" w:themeShade="80"/>
          <w:sz w:val="28"/>
          <w:szCs w:val="28"/>
          <w:lang w:val="ro-RO"/>
        </w:rPr>
      </w:pPr>
      <w:r>
        <w:rPr>
          <w:rFonts w:ascii="Times New Roman" w:hAnsi="Times New Roman" w:cs="Times New Roman"/>
          <w:b/>
          <w:bCs/>
          <w:color w:val="0F243E" w:themeColor="text2" w:themeShade="80"/>
          <w:sz w:val="28"/>
          <w:szCs w:val="28"/>
          <w:lang w:val="ro-RO"/>
        </w:rPr>
        <w:t xml:space="preserve">                  </w:t>
      </w:r>
    </w:p>
    <w:p w14:paraId="5A50A4A8" w14:textId="77777777" w:rsidR="003D3686" w:rsidRDefault="003D3686" w:rsidP="003D3686">
      <w:pPr>
        <w:autoSpaceDE w:val="0"/>
        <w:autoSpaceDN w:val="0"/>
        <w:adjustRightInd w:val="0"/>
        <w:spacing w:after="0" w:line="360" w:lineRule="auto"/>
        <w:rPr>
          <w:rFonts w:asciiTheme="majorBidi" w:hAnsiTheme="majorBidi" w:cstheme="majorBidi"/>
          <w:b/>
          <w:bCs/>
          <w:color w:val="002060"/>
          <w:sz w:val="28"/>
          <w:szCs w:val="28"/>
        </w:rPr>
      </w:pPr>
    </w:p>
    <w:p w14:paraId="62C9A80E" w14:textId="77777777" w:rsidR="003D3686" w:rsidRDefault="003D3686" w:rsidP="003D3686">
      <w:pPr>
        <w:autoSpaceDE w:val="0"/>
        <w:autoSpaceDN w:val="0"/>
        <w:adjustRightInd w:val="0"/>
        <w:spacing w:after="0" w:line="360" w:lineRule="auto"/>
        <w:rPr>
          <w:rFonts w:asciiTheme="majorBidi" w:hAnsiTheme="majorBidi" w:cstheme="majorBidi"/>
          <w:b/>
          <w:bCs/>
          <w:color w:val="002060"/>
          <w:sz w:val="28"/>
          <w:szCs w:val="28"/>
        </w:rPr>
      </w:pPr>
    </w:p>
    <w:p w14:paraId="6D4117EB" w14:textId="77777777" w:rsidR="003D3686" w:rsidRPr="003D3686" w:rsidRDefault="0036506D" w:rsidP="003D3686">
      <w:pPr>
        <w:autoSpaceDE w:val="0"/>
        <w:autoSpaceDN w:val="0"/>
        <w:adjustRightInd w:val="0"/>
        <w:spacing w:after="0" w:line="360" w:lineRule="auto"/>
        <w:rPr>
          <w:rFonts w:ascii="Times New Roman" w:hAnsi="Times New Roman" w:cs="Times New Roman"/>
          <w:b/>
          <w:bCs/>
          <w:color w:val="0F243E" w:themeColor="text2" w:themeShade="80"/>
          <w:sz w:val="10"/>
          <w:szCs w:val="10"/>
          <w:lang w:val="ro-RO"/>
        </w:rPr>
      </w:pPr>
      <w:r>
        <w:rPr>
          <w:rFonts w:asciiTheme="majorBidi" w:hAnsiTheme="majorBidi" w:cstheme="majorBidi"/>
          <w:b/>
          <w:bCs/>
          <w:color w:val="002060"/>
          <w:sz w:val="28"/>
          <w:szCs w:val="28"/>
        </w:rPr>
        <w:t>Nr._</w:t>
      </w:r>
      <w:r w:rsidR="00912E22">
        <w:rPr>
          <w:rFonts w:asciiTheme="majorBidi" w:hAnsiTheme="majorBidi" w:cstheme="majorBidi"/>
          <w:b/>
          <w:bCs/>
          <w:color w:val="002060"/>
          <w:sz w:val="28"/>
          <w:szCs w:val="28"/>
        </w:rPr>
        <w:t>__________</w:t>
      </w:r>
      <w:r w:rsidR="003D3686" w:rsidRPr="007C0288">
        <w:rPr>
          <w:rFonts w:asciiTheme="majorBidi" w:hAnsiTheme="majorBidi" w:cstheme="majorBidi"/>
          <w:b/>
          <w:bCs/>
          <w:color w:val="002060"/>
          <w:sz w:val="28"/>
          <w:szCs w:val="28"/>
        </w:rPr>
        <w:t>din</w:t>
      </w:r>
      <w:r w:rsidR="00912E22">
        <w:rPr>
          <w:rFonts w:asciiTheme="majorBidi" w:hAnsiTheme="majorBidi" w:cstheme="majorBidi"/>
          <w:b/>
          <w:bCs/>
          <w:color w:val="002060"/>
          <w:sz w:val="28"/>
          <w:szCs w:val="28"/>
        </w:rPr>
        <w:t>_________________</w:t>
      </w:r>
      <w:r w:rsidR="003D3686" w:rsidRPr="007C0288">
        <w:rPr>
          <w:rFonts w:asciiTheme="majorBidi" w:hAnsiTheme="majorBidi" w:cstheme="majorBidi"/>
          <w:b/>
          <w:bCs/>
          <w:color w:val="002060"/>
          <w:sz w:val="28"/>
          <w:szCs w:val="28"/>
        </w:rPr>
        <w:t>_</w:t>
      </w:r>
    </w:p>
    <w:p w14:paraId="753F95B8" w14:textId="77777777" w:rsidR="003D3686" w:rsidRPr="001B7427" w:rsidRDefault="003D3686" w:rsidP="003D3686">
      <w:pPr>
        <w:pStyle w:val="NoSpacing"/>
        <w:spacing w:line="360" w:lineRule="auto"/>
        <w:rPr>
          <w:rFonts w:asciiTheme="majorBidi" w:hAnsiTheme="majorBidi" w:cstheme="majorBidi"/>
          <w:b/>
          <w:bCs/>
          <w:color w:val="002060"/>
          <w:sz w:val="28"/>
          <w:szCs w:val="28"/>
        </w:rPr>
      </w:pPr>
      <w:r w:rsidRPr="007C0288">
        <w:rPr>
          <w:rFonts w:asciiTheme="majorBidi" w:hAnsiTheme="majorBidi" w:cstheme="majorBidi"/>
          <w:b/>
          <w:bCs/>
          <w:color w:val="002060"/>
          <w:sz w:val="28"/>
          <w:szCs w:val="28"/>
        </w:rPr>
        <w:t>La nr.___________ din_______________</w:t>
      </w:r>
    </w:p>
    <w:p w14:paraId="235F9DB8" w14:textId="77777777" w:rsidR="00246F2A" w:rsidRDefault="00246F2A" w:rsidP="00246F2A">
      <w:pPr>
        <w:autoSpaceDE w:val="0"/>
        <w:autoSpaceDN w:val="0"/>
        <w:adjustRightInd w:val="0"/>
        <w:spacing w:after="0" w:line="360" w:lineRule="auto"/>
        <w:jc w:val="center"/>
        <w:rPr>
          <w:rFonts w:ascii="Times New Roman" w:hAnsi="Times New Roman" w:cs="Times New Roman"/>
          <w:b/>
          <w:bCs/>
          <w:color w:val="000000" w:themeColor="text1"/>
          <w:sz w:val="32"/>
          <w:szCs w:val="32"/>
          <w:lang w:val="ro-RO"/>
        </w:rPr>
      </w:pPr>
    </w:p>
    <w:p w14:paraId="263268A6" w14:textId="77777777" w:rsidR="00AF0426" w:rsidRDefault="00FD1403">
      <w:pPr>
        <w:spacing w:after="60"/>
        <w:jc w:val="center"/>
      </w:pPr>
      <w:r>
        <w:rPr>
          <w:rFonts w:ascii="Times New Roman" w:eastAsia="Times New Roman" w:hAnsi="Times New Roman" w:cs="Times New Roman"/>
          <w:b/>
          <w:bCs/>
          <w:sz w:val="32"/>
          <w:szCs w:val="32"/>
        </w:rPr>
        <w:t>CEREREA OFERTEI DE PREȚURI</w:t>
      </w:r>
    </w:p>
    <w:p w14:paraId="76E562BF" w14:textId="77777777" w:rsidR="00AF0426" w:rsidRDefault="00FD1403">
      <w:pPr>
        <w:spacing w:after="40"/>
        <w:jc w:val="center"/>
      </w:pPr>
      <w:r>
        <w:rPr>
          <w:rFonts w:ascii="Times New Roman" w:eastAsia="Times New Roman" w:hAnsi="Times New Roman" w:cs="Times New Roman"/>
          <w:b/>
          <w:bCs/>
          <w:sz w:val="24"/>
          <w:szCs w:val="24"/>
        </w:rPr>
        <w:t>Servicii de proiectare – instalație automată de stingere a incendiilor cu gaz, climatizare și ventilare, anvelopa încăperii – sala de servere 403B</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00"/>
        <w:gridCol w:w="7689"/>
      </w:tblGrid>
      <w:tr w:rsidR="00AF0426" w14:paraId="7678BCCF" w14:textId="77777777">
        <w:tc>
          <w:tcPr>
            <w:tcW w:w="9689" w:type="dxa"/>
            <w:gridSpan w:val="2"/>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590A2D4D" w14:textId="77777777" w:rsidR="00AF0426" w:rsidRDefault="00FD1403">
            <w:pPr>
              <w:spacing w:after="40"/>
              <w:jc w:val="center"/>
            </w:pPr>
            <w:r>
              <w:rPr>
                <w:rFonts w:ascii="Times New Roman" w:eastAsia="Times New Roman" w:hAnsi="Times New Roman" w:cs="Times New Roman"/>
                <w:b/>
                <w:bCs/>
                <w:sz w:val="24"/>
                <w:szCs w:val="24"/>
              </w:rPr>
              <w:t>REZUMAT</w:t>
            </w:r>
          </w:p>
        </w:tc>
      </w:tr>
      <w:tr w:rsidR="00AF0426" w14:paraId="59812B67" w14:textId="77777777">
        <w:trPr>
          <w:cantSplit/>
        </w:trPr>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0F0493D" w14:textId="77777777" w:rsidR="00AF0426" w:rsidRDefault="00FD1403">
            <w:pPr>
              <w:spacing w:after="40"/>
            </w:pPr>
            <w:r>
              <w:rPr>
                <w:rFonts w:ascii="Times New Roman" w:eastAsia="Times New Roman" w:hAnsi="Times New Roman" w:cs="Times New Roman"/>
                <w:b/>
                <w:bCs/>
                <w:sz w:val="21"/>
                <w:szCs w:val="21"/>
              </w:rPr>
              <w:t>Obiectul</w:t>
            </w:r>
          </w:p>
        </w:tc>
        <w:tc>
          <w:tcPr>
            <w:tcW w:w="7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D365C55" w14:textId="77777777" w:rsidR="00AF0426" w:rsidRDefault="00FD1403">
            <w:pPr>
              <w:spacing w:after="40"/>
            </w:pPr>
            <w:r>
              <w:rPr>
                <w:rFonts w:ascii="Times New Roman" w:eastAsia="Times New Roman" w:hAnsi="Times New Roman" w:cs="Times New Roman"/>
                <w:sz w:val="21"/>
                <w:szCs w:val="21"/>
              </w:rPr>
              <w:t>Proiectarea (documentație de execuție) pentru sala de servere 403B, aflată în funcțiune 24/7: A – instalație automată de stingere cu gaz, cu detecție, comandă și alimentare; B – modificări ale climatizării și ventilării, evacuarea gazelor după stingere; C – anvelopa încăperii (fereastră, uși, etanșare, protecție la apă).</w:t>
            </w:r>
          </w:p>
        </w:tc>
      </w:tr>
      <w:tr w:rsidR="00AF0426" w14:paraId="18E4FB15" w14:textId="77777777">
        <w:trPr>
          <w:cantSplit/>
        </w:trPr>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6AF871" w14:textId="77777777" w:rsidR="00AF0426" w:rsidRDefault="00FD1403">
            <w:pPr>
              <w:spacing w:after="40"/>
            </w:pPr>
            <w:r>
              <w:rPr>
                <w:rFonts w:ascii="Times New Roman" w:eastAsia="Times New Roman" w:hAnsi="Times New Roman" w:cs="Times New Roman"/>
                <w:b/>
                <w:bCs/>
                <w:sz w:val="21"/>
                <w:szCs w:val="21"/>
              </w:rPr>
              <w:t>Fazele</w:t>
            </w:r>
          </w:p>
        </w:tc>
        <w:tc>
          <w:tcPr>
            <w:tcW w:w="7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C9E1B6" w14:textId="77777777" w:rsidR="00AF0426" w:rsidRDefault="00FD1403">
            <w:pPr>
              <w:spacing w:after="40"/>
            </w:pPr>
            <w:r>
              <w:rPr>
                <w:rFonts w:ascii="Times New Roman" w:eastAsia="Times New Roman" w:hAnsi="Times New Roman" w:cs="Times New Roman"/>
                <w:sz w:val="21"/>
                <w:szCs w:val="21"/>
              </w:rPr>
              <w:t>1 – raport de soluții și alegerea agentului de stingere (20 zile lucrătoare); 2 – proiect de execuție (30 zile lucrătoare de la aprobarea Fazei 1); 3 – supraveghere de autor (6 vizite, maximum 12 luni de la începerea lucrărilor).</w:t>
            </w:r>
          </w:p>
        </w:tc>
      </w:tr>
      <w:tr w:rsidR="00AF0426" w14:paraId="6709E5E5" w14:textId="77777777">
        <w:trPr>
          <w:cantSplit/>
        </w:trPr>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38100B0" w14:textId="77777777" w:rsidR="00AF0426" w:rsidRDefault="00FD1403">
            <w:pPr>
              <w:spacing w:after="40"/>
            </w:pPr>
            <w:r>
              <w:rPr>
                <w:rFonts w:ascii="Times New Roman" w:eastAsia="Times New Roman" w:hAnsi="Times New Roman" w:cs="Times New Roman"/>
                <w:b/>
                <w:bCs/>
                <w:sz w:val="21"/>
                <w:szCs w:val="21"/>
              </w:rPr>
              <w:t>Se predă</w:t>
            </w:r>
          </w:p>
        </w:tc>
        <w:tc>
          <w:tcPr>
            <w:tcW w:w="7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043249" w14:textId="77777777" w:rsidR="00AF0426" w:rsidRDefault="00FD1403">
            <w:pPr>
              <w:spacing w:after="40"/>
            </w:pPr>
            <w:r>
              <w:rPr>
                <w:rFonts w:ascii="Times New Roman" w:eastAsia="Times New Roman" w:hAnsi="Times New Roman" w:cs="Times New Roman"/>
                <w:sz w:val="21"/>
                <w:szCs w:val="21"/>
              </w:rPr>
              <w:t>Memoriu tehnic, piese desenate, calcule, caiete de sarcini pentru lucrări, liste de cantități, deviz estimativ, program de probe și recepție; fișiere-sursă editabile.</w:t>
            </w:r>
          </w:p>
        </w:tc>
      </w:tr>
      <w:tr w:rsidR="00AF0426" w14:paraId="5B926A44" w14:textId="77777777">
        <w:trPr>
          <w:cantSplit/>
        </w:trPr>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C5780F" w14:textId="77777777" w:rsidR="00AF0426" w:rsidRDefault="00FD1403">
            <w:pPr>
              <w:spacing w:after="40"/>
            </w:pPr>
            <w:r>
              <w:rPr>
                <w:rFonts w:ascii="Times New Roman" w:eastAsia="Times New Roman" w:hAnsi="Times New Roman" w:cs="Times New Roman"/>
                <w:b/>
                <w:bCs/>
                <w:sz w:val="21"/>
                <w:szCs w:val="21"/>
              </w:rPr>
              <w:t>Calificare minimă</w:t>
            </w:r>
          </w:p>
        </w:tc>
        <w:tc>
          <w:tcPr>
            <w:tcW w:w="7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F9B8037" w14:textId="77777777" w:rsidR="00AF0426" w:rsidRDefault="00FD1403">
            <w:pPr>
              <w:spacing w:after="40"/>
            </w:pPr>
            <w:r>
              <w:rPr>
                <w:rFonts w:ascii="Times New Roman" w:eastAsia="Times New Roman" w:hAnsi="Times New Roman" w:cs="Times New Roman"/>
                <w:sz w:val="21"/>
                <w:szCs w:val="21"/>
              </w:rPr>
              <w:t>Atestat pentru proiectarea instalațiilor de stingere și semnalizare a incendiilor; cel puțin 2 proiecte de stingere cu gaz în ultimii 5 ani, din care unul pentru spații cu echipamente IT; proiectanți atestați pe secțiuni.</w:t>
            </w:r>
          </w:p>
        </w:tc>
      </w:tr>
      <w:tr w:rsidR="00AF0426" w14:paraId="09EEC3DB" w14:textId="77777777">
        <w:trPr>
          <w:cantSplit/>
        </w:trPr>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038A99" w14:textId="77777777" w:rsidR="00AF0426" w:rsidRDefault="00FD1403">
            <w:pPr>
              <w:spacing w:after="40"/>
            </w:pPr>
            <w:r>
              <w:rPr>
                <w:rFonts w:ascii="Times New Roman" w:eastAsia="Times New Roman" w:hAnsi="Times New Roman" w:cs="Times New Roman"/>
                <w:b/>
                <w:bCs/>
                <w:sz w:val="21"/>
                <w:szCs w:val="21"/>
              </w:rPr>
              <w:t>Condiții</w:t>
            </w:r>
          </w:p>
        </w:tc>
        <w:tc>
          <w:tcPr>
            <w:tcW w:w="7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1E8C587" w14:textId="77777777" w:rsidR="00AF0426" w:rsidRDefault="00FD1403">
            <w:pPr>
              <w:spacing w:after="40"/>
            </w:pPr>
            <w:r>
              <w:rPr>
                <w:rFonts w:ascii="Times New Roman" w:eastAsia="Times New Roman" w:hAnsi="Times New Roman" w:cs="Times New Roman"/>
                <w:sz w:val="21"/>
                <w:szCs w:val="21"/>
              </w:rPr>
              <w:t>Vizită obligatorie la obiect, după semnarea NDA; ofertă pe suport de hârtie, în limba română; criteriul de atribuire – cel mai mic preț cu TVA dintre ofertele conforme.</w:t>
            </w:r>
          </w:p>
        </w:tc>
      </w:tr>
      <w:tr w:rsidR="00AF0426" w14:paraId="6038C403" w14:textId="77777777">
        <w:trPr>
          <w:cantSplit/>
        </w:trPr>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DC6D1F" w14:textId="77777777" w:rsidR="00AF0426" w:rsidRDefault="00FD1403">
            <w:pPr>
              <w:spacing w:after="40"/>
            </w:pPr>
            <w:r>
              <w:rPr>
                <w:rFonts w:ascii="Times New Roman" w:eastAsia="Times New Roman" w:hAnsi="Times New Roman" w:cs="Times New Roman"/>
                <w:b/>
                <w:bCs/>
                <w:sz w:val="21"/>
                <w:szCs w:val="21"/>
              </w:rPr>
              <w:t>Cerințe detaliate</w:t>
            </w:r>
          </w:p>
        </w:tc>
        <w:tc>
          <w:tcPr>
            <w:tcW w:w="76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52F974" w14:textId="77777777" w:rsidR="00AF0426" w:rsidRDefault="00FD1403">
            <w:pPr>
              <w:spacing w:after="40"/>
            </w:pPr>
            <w:r>
              <w:rPr>
                <w:rFonts w:ascii="Times New Roman" w:eastAsia="Times New Roman" w:hAnsi="Times New Roman" w:cs="Times New Roman"/>
                <w:sz w:val="21"/>
                <w:szCs w:val="21"/>
              </w:rPr>
              <w:t>Anexa nr. 1 – Tema de proiectare.</w:t>
            </w:r>
          </w:p>
        </w:tc>
      </w:tr>
    </w:tbl>
    <w:p w14:paraId="7CC47E01" w14:textId="77777777" w:rsidR="00AF0426" w:rsidRDefault="00FD1403">
      <w:pPr>
        <w:keepNext/>
        <w:spacing w:before="240" w:after="120"/>
      </w:pPr>
      <w:r>
        <w:rPr>
          <w:rFonts w:ascii="Times New Roman" w:eastAsia="Times New Roman" w:hAnsi="Times New Roman" w:cs="Times New Roman"/>
          <w:b/>
          <w:bCs/>
          <w:sz w:val="26"/>
          <w:szCs w:val="26"/>
        </w:rPr>
        <w:t>I. INFORMAȚII GENERALE DESPRE ACHIZITOR</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0"/>
        <w:gridCol w:w="4289"/>
      </w:tblGrid>
      <w:tr w:rsidR="00AF0426" w14:paraId="6A255C14" w14:textId="77777777">
        <w:tc>
          <w:tcPr>
            <w:tcW w:w="9689" w:type="dxa"/>
            <w:gridSpan w:val="2"/>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22E12E" w14:textId="77777777" w:rsidR="00AF0426" w:rsidRDefault="00FD1403">
            <w:pPr>
              <w:spacing w:after="40"/>
            </w:pPr>
            <w:r>
              <w:rPr>
                <w:rFonts w:ascii="Times New Roman" w:eastAsia="Times New Roman" w:hAnsi="Times New Roman" w:cs="Times New Roman"/>
                <w:sz w:val="24"/>
                <w:szCs w:val="24"/>
              </w:rPr>
              <w:t>Denumire: S.A. „Moldtelecom”</w:t>
            </w:r>
          </w:p>
        </w:tc>
      </w:tr>
      <w:tr w:rsidR="00AF0426" w14:paraId="5D26ED80" w14:textId="77777777">
        <w:tc>
          <w:tcPr>
            <w:tcW w:w="9689" w:type="dxa"/>
            <w:gridSpan w:val="2"/>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64A5836" w14:textId="77777777" w:rsidR="00AF0426" w:rsidRDefault="00FD1403">
            <w:pPr>
              <w:spacing w:after="40"/>
            </w:pPr>
            <w:r>
              <w:rPr>
                <w:rFonts w:ascii="Times New Roman" w:eastAsia="Times New Roman" w:hAnsi="Times New Roman" w:cs="Times New Roman"/>
                <w:sz w:val="24"/>
                <w:szCs w:val="24"/>
              </w:rPr>
              <w:t>Adresa: bd. Ștefan cel Mare și Sfânt 10, mun. Chișinău, Republica Moldova</w:t>
            </w:r>
          </w:p>
        </w:tc>
      </w:tr>
      <w:tr w:rsidR="00AF0426" w14:paraId="6DE290D5" w14:textId="77777777">
        <w:tc>
          <w:tcPr>
            <w:tcW w:w="9689" w:type="dxa"/>
            <w:gridSpan w:val="2"/>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9723831" w14:textId="77777777" w:rsidR="00AF0426" w:rsidRDefault="00FD1403">
            <w:pPr>
              <w:spacing w:after="40"/>
            </w:pPr>
            <w:r>
              <w:rPr>
                <w:rFonts w:ascii="Times New Roman" w:eastAsia="Times New Roman" w:hAnsi="Times New Roman" w:cs="Times New Roman"/>
                <w:sz w:val="24"/>
                <w:szCs w:val="24"/>
              </w:rPr>
              <w:t>Cod poștal: MD-2001</w:t>
            </w:r>
          </w:p>
        </w:tc>
      </w:tr>
      <w:tr w:rsidR="00AF0426" w14:paraId="55F1DF02" w14:textId="77777777">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DB1DD6" w14:textId="77777777" w:rsidR="00AF0426" w:rsidRDefault="00FD1403">
            <w:pPr>
              <w:spacing w:after="40"/>
            </w:pPr>
            <w:r>
              <w:rPr>
                <w:rFonts w:ascii="Times New Roman" w:eastAsia="Times New Roman" w:hAnsi="Times New Roman" w:cs="Times New Roman"/>
                <w:sz w:val="24"/>
                <w:szCs w:val="24"/>
              </w:rPr>
              <w:t>Persoana de contact pentru informații suplimentare: Serghei Istrati, Șef SAIIT</w:t>
            </w:r>
          </w:p>
        </w:tc>
        <w:tc>
          <w:tcPr>
            <w:tcW w:w="42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14684C" w14:textId="77777777" w:rsidR="00AF0426" w:rsidRDefault="00FD1403">
            <w:pPr>
              <w:spacing w:after="40"/>
            </w:pPr>
            <w:r>
              <w:rPr>
                <w:rFonts w:ascii="Times New Roman" w:eastAsia="Times New Roman" w:hAnsi="Times New Roman" w:cs="Times New Roman"/>
                <w:sz w:val="24"/>
                <w:szCs w:val="24"/>
              </w:rPr>
              <w:t>Telefon: (f) 022 570 273; (m) 067 199 273</w:t>
            </w:r>
          </w:p>
        </w:tc>
      </w:tr>
      <w:tr w:rsidR="00AF0426" w14:paraId="5E0576D3" w14:textId="77777777">
        <w:tc>
          <w:tcPr>
            <w:tcW w:w="5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0540CB" w14:textId="77777777" w:rsidR="00AF0426" w:rsidRDefault="00FD1403">
            <w:pPr>
              <w:spacing w:after="40"/>
            </w:pPr>
            <w:r>
              <w:rPr>
                <w:rFonts w:ascii="Times New Roman" w:eastAsia="Times New Roman" w:hAnsi="Times New Roman" w:cs="Times New Roman"/>
                <w:sz w:val="24"/>
                <w:szCs w:val="24"/>
              </w:rPr>
              <w:t>Email: serghei.istrati@moldtelecom.md</w:t>
            </w:r>
          </w:p>
        </w:tc>
        <w:tc>
          <w:tcPr>
            <w:tcW w:w="42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3938941" w14:textId="77777777" w:rsidR="00AF0426" w:rsidRDefault="00FD1403">
            <w:pPr>
              <w:spacing w:after="40"/>
            </w:pPr>
            <w:r>
              <w:rPr>
                <w:rFonts w:ascii="Times New Roman" w:eastAsia="Times New Roman" w:hAnsi="Times New Roman" w:cs="Times New Roman"/>
                <w:sz w:val="24"/>
                <w:szCs w:val="24"/>
              </w:rPr>
              <w:t>Web: www.moldtelecom.md</w:t>
            </w:r>
          </w:p>
        </w:tc>
      </w:tr>
    </w:tbl>
    <w:p w14:paraId="12AC724B" w14:textId="77777777" w:rsidR="00AF0426" w:rsidRDefault="00FD1403">
      <w:pPr>
        <w:keepNext/>
        <w:spacing w:before="240" w:after="120"/>
      </w:pPr>
      <w:r>
        <w:rPr>
          <w:rFonts w:ascii="Times New Roman" w:eastAsia="Times New Roman" w:hAnsi="Times New Roman" w:cs="Times New Roman"/>
          <w:b/>
          <w:bCs/>
          <w:sz w:val="26"/>
          <w:szCs w:val="26"/>
        </w:rPr>
        <w:lastRenderedPageBreak/>
        <w:t>II. OBIECTUL ACHIZIȚIEI</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7089"/>
      </w:tblGrid>
      <w:tr w:rsidR="00AF0426" w14:paraId="3B7653DB"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A96176" w14:textId="77777777" w:rsidR="00AF0426" w:rsidRDefault="00FD1403">
            <w:pPr>
              <w:spacing w:after="40"/>
            </w:pPr>
            <w:r>
              <w:rPr>
                <w:rFonts w:ascii="Times New Roman" w:eastAsia="Times New Roman" w:hAnsi="Times New Roman" w:cs="Times New Roman"/>
                <w:b/>
                <w:bCs/>
              </w:rPr>
              <w:t>2.1. Denumirea serviciilor</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0CF13E" w14:textId="77777777" w:rsidR="00AF0426" w:rsidRDefault="00FD1403">
            <w:pPr>
              <w:spacing w:after="40"/>
            </w:pPr>
            <w:r>
              <w:rPr>
                <w:rFonts w:ascii="Times New Roman" w:eastAsia="Times New Roman" w:hAnsi="Times New Roman" w:cs="Times New Roman"/>
              </w:rPr>
              <w:t>Servicii de proiectare (documentație de execuție) pentru sala de servere 403B, situată în mun. Chișinău, bd. Ștefan cel Mare și Sfânt 12, bloc C ______________________ (de confirmat adresa):</w:t>
            </w:r>
          </w:p>
          <w:p w14:paraId="508F9749" w14:textId="77777777" w:rsidR="00AF0426" w:rsidRDefault="00FD1403">
            <w:pPr>
              <w:spacing w:after="40"/>
            </w:pPr>
            <w:r>
              <w:rPr>
                <w:rFonts w:ascii="Times New Roman" w:eastAsia="Times New Roman" w:hAnsi="Times New Roman" w:cs="Times New Roman"/>
              </w:rPr>
              <w:t>A – instalația automată de stingere a incendiilor cu gaz, cu sistemul de detecție, semnalizare, comandă și alimentare aferent;</w:t>
            </w:r>
          </w:p>
          <w:p w14:paraId="2FABBB77" w14:textId="77777777" w:rsidR="00AF0426" w:rsidRDefault="00FD1403">
            <w:pPr>
              <w:spacing w:after="40"/>
            </w:pPr>
            <w:r>
              <w:rPr>
                <w:rFonts w:ascii="Times New Roman" w:eastAsia="Times New Roman" w:hAnsi="Times New Roman" w:cs="Times New Roman"/>
              </w:rPr>
              <w:t>B – modificările sistemelor de climatizare și ventilare, inclusiv deconectarea HVAC la incendiu și evacuarea gazelor și a fumului după stingere;</w:t>
            </w:r>
          </w:p>
          <w:p w14:paraId="6A4385F1" w14:textId="77777777" w:rsidR="00AF0426" w:rsidRDefault="00FD1403">
            <w:pPr>
              <w:spacing w:after="40"/>
            </w:pPr>
            <w:r>
              <w:rPr>
                <w:rFonts w:ascii="Times New Roman" w:eastAsia="Times New Roman" w:hAnsi="Times New Roman" w:cs="Times New Roman"/>
              </w:rPr>
              <w:t>C – anvelopa volumului protejat: închiderea golului de fereastră, înlocuirea și consolidarea ușilor, etanșarea pereților, planșeelor și trecerilor, protecția împotriva apei de la nivelul superior și detecția scurgerilor.</w:t>
            </w:r>
          </w:p>
        </w:tc>
      </w:tr>
      <w:tr w:rsidR="00AF0426" w14:paraId="3B12B494"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7BC237" w14:textId="77777777" w:rsidR="00AF0426" w:rsidRDefault="00FD1403">
            <w:pPr>
              <w:spacing w:after="40"/>
            </w:pPr>
            <w:r>
              <w:rPr>
                <w:rFonts w:ascii="Times New Roman" w:eastAsia="Times New Roman" w:hAnsi="Times New Roman" w:cs="Times New Roman"/>
                <w:b/>
                <w:bCs/>
              </w:rPr>
              <w:t>2.2. Scopul</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7D680A9" w14:textId="77777777" w:rsidR="00AF0426" w:rsidRDefault="00FD1403">
            <w:pPr>
              <w:spacing w:after="40"/>
            </w:pPr>
            <w:r>
              <w:rPr>
                <w:rFonts w:ascii="Times New Roman" w:eastAsia="Times New Roman" w:hAnsi="Times New Roman" w:cs="Times New Roman"/>
              </w:rPr>
              <w:t>Documentația servește drept bază pentru achiziția ulterioară a lucrărilor, pentru executarea acestora fără întreruperea funcționării sălii de servere și pentru obținerea avizelor necesare punerii în funcțiune. Cerințele față de soluție – în Anexa nr. 1 (Tema de proiectare).</w:t>
            </w:r>
          </w:p>
        </w:tc>
      </w:tr>
      <w:tr w:rsidR="00AF0426" w14:paraId="5A3483AE"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7A65BCB" w14:textId="77777777" w:rsidR="00AF0426" w:rsidRDefault="00FD1403">
            <w:pPr>
              <w:spacing w:after="40"/>
            </w:pPr>
            <w:r>
              <w:rPr>
                <w:rFonts w:ascii="Times New Roman" w:eastAsia="Times New Roman" w:hAnsi="Times New Roman" w:cs="Times New Roman"/>
                <w:b/>
                <w:bCs/>
              </w:rPr>
              <w:t>2.3. Termenul de prestare</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1C6645" w14:textId="77777777" w:rsidR="00AF0426" w:rsidRDefault="00FD1403">
            <w:pPr>
              <w:spacing w:after="40"/>
            </w:pPr>
            <w:r>
              <w:rPr>
                <w:rFonts w:ascii="Times New Roman" w:eastAsia="Times New Roman" w:hAnsi="Times New Roman" w:cs="Times New Roman"/>
              </w:rPr>
              <w:t>Faza 1 – Raport de soluții: 20 zile lucrătoare de la semnarea contractului și predarea datelor inițiale.</w:t>
            </w:r>
          </w:p>
          <w:p w14:paraId="708C31A4" w14:textId="77777777" w:rsidR="00AF0426" w:rsidRDefault="00FD1403">
            <w:pPr>
              <w:spacing w:after="40"/>
            </w:pPr>
            <w:r>
              <w:rPr>
                <w:rFonts w:ascii="Times New Roman" w:eastAsia="Times New Roman" w:hAnsi="Times New Roman" w:cs="Times New Roman"/>
              </w:rPr>
              <w:t>Aprobarea Fazei 1 de către Beneficiar: 10 zile lucrătoare.</w:t>
            </w:r>
          </w:p>
          <w:p w14:paraId="4D5952D8" w14:textId="77777777" w:rsidR="00AF0426" w:rsidRDefault="00FD1403">
            <w:pPr>
              <w:spacing w:after="40"/>
            </w:pPr>
            <w:r>
              <w:rPr>
                <w:rFonts w:ascii="Times New Roman" w:eastAsia="Times New Roman" w:hAnsi="Times New Roman" w:cs="Times New Roman"/>
              </w:rPr>
              <w:t>Faza 2 – Proiect de execuție: 30 zile lucrătoare de la aprobarea Fazei 1.</w:t>
            </w:r>
          </w:p>
          <w:p w14:paraId="76CC0274" w14:textId="77777777" w:rsidR="00AF0426" w:rsidRDefault="00FD1403">
            <w:pPr>
              <w:spacing w:after="40"/>
            </w:pPr>
            <w:r>
              <w:rPr>
                <w:rFonts w:ascii="Times New Roman" w:eastAsia="Times New Roman" w:hAnsi="Times New Roman" w:cs="Times New Roman"/>
              </w:rPr>
              <w:t>Remedierea observațiilor: termen convenit, proporțional cu volumul observațiilor, maximum 10 zile lucrătoare.</w:t>
            </w:r>
          </w:p>
          <w:p w14:paraId="0B87221E" w14:textId="77777777" w:rsidR="00AF0426" w:rsidRDefault="00FD1403">
            <w:pPr>
              <w:spacing w:after="40"/>
            </w:pPr>
            <w:r>
              <w:rPr>
                <w:rFonts w:ascii="Times New Roman" w:eastAsia="Times New Roman" w:hAnsi="Times New Roman" w:cs="Times New Roman"/>
              </w:rPr>
              <w:t>Faza 3 – Supraveghere de autor: 6 vizite la obiect, pe durata a maximum 12 luni de la începerea efectivă a lucrărilor (Anexa nr. 1, pct. 3.3).</w:t>
            </w:r>
          </w:p>
        </w:tc>
      </w:tr>
      <w:tr w:rsidR="00AF0426" w14:paraId="5B6AA1F4"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BAC9F8D" w14:textId="77777777" w:rsidR="00AF0426" w:rsidRDefault="00FD1403">
            <w:pPr>
              <w:spacing w:after="40"/>
            </w:pPr>
            <w:r>
              <w:rPr>
                <w:rFonts w:ascii="Times New Roman" w:eastAsia="Times New Roman" w:hAnsi="Times New Roman" w:cs="Times New Roman"/>
                <w:b/>
                <w:bCs/>
              </w:rPr>
              <w:t>2.4. Disponibilitatea personalului specializat</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871A8EF" w14:textId="77777777" w:rsidR="00AF0426" w:rsidRDefault="00FD1403">
            <w:pPr>
              <w:spacing w:after="40"/>
            </w:pPr>
            <w:r>
              <w:rPr>
                <w:rFonts w:ascii="Times New Roman" w:eastAsia="Times New Roman" w:hAnsi="Times New Roman" w:cs="Times New Roman"/>
              </w:rPr>
              <w:t>Șef de proiect și proiectanți atestați pentru fiecare secțiune: stingere și semnalizare, instalații electrice, HVAC, construcții. O persoană poate acoperi mai multe secțiuni dacă deține atestatele corespunzătoare.</w:t>
            </w:r>
          </w:p>
        </w:tc>
      </w:tr>
      <w:tr w:rsidR="00AF0426" w14:paraId="557BABB4"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D3F245" w14:textId="77777777" w:rsidR="00AF0426" w:rsidRDefault="00FD1403">
            <w:pPr>
              <w:spacing w:after="40"/>
            </w:pPr>
            <w:r>
              <w:rPr>
                <w:rFonts w:ascii="Times New Roman" w:eastAsia="Times New Roman" w:hAnsi="Times New Roman" w:cs="Times New Roman"/>
                <w:b/>
                <w:bCs/>
              </w:rPr>
              <w:t>2.5. Experiența</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0218BB" w14:textId="77777777" w:rsidR="00AF0426" w:rsidRDefault="00FD1403">
            <w:pPr>
              <w:spacing w:after="40"/>
            </w:pPr>
            <w:r>
              <w:rPr>
                <w:rFonts w:ascii="Times New Roman" w:eastAsia="Times New Roman" w:hAnsi="Times New Roman" w:cs="Times New Roman"/>
              </w:rPr>
              <w:t>Cel puțin 2 proiecte de instalații automate de stingere cu gaz elaborate în ultimii 5 ani, din care cel puțin unul pentru spații cu echipamente electronice sau IT (sală de servere, centru de date, telecomunicații, dispecerat); minimum 2 recomandări sau acte de recepție.</w:t>
            </w:r>
          </w:p>
        </w:tc>
      </w:tr>
      <w:tr w:rsidR="00AF0426" w14:paraId="4BEDA24B"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76F648" w14:textId="77777777" w:rsidR="00AF0426" w:rsidRDefault="00FD1403">
            <w:pPr>
              <w:spacing w:after="40"/>
            </w:pPr>
            <w:r>
              <w:rPr>
                <w:rFonts w:ascii="Times New Roman" w:eastAsia="Times New Roman" w:hAnsi="Times New Roman" w:cs="Times New Roman"/>
                <w:b/>
                <w:bCs/>
              </w:rPr>
              <w:t>2.6. Vizita la obiect și confidențialitatea</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D2CC1F" w14:textId="77777777" w:rsidR="00AF0426" w:rsidRDefault="00FD1403">
            <w:pPr>
              <w:spacing w:after="40"/>
            </w:pPr>
            <w:r>
              <w:rPr>
                <w:rFonts w:ascii="Times New Roman" w:eastAsia="Times New Roman" w:hAnsi="Times New Roman" w:cs="Times New Roman"/>
              </w:rPr>
              <w:t>Vizita la obiect este obligatorie, la alegerea ofertantului în una din datele ______________________ sau ______________________, cu înregistrare prealabilă la persoana de contact. Accesul la obiect și la datele inițiale se acordă numai după semnarea Acordului de confidențialitate (NDA); datele inițiale, inclusiv sarcina termică și electrică de calcul, se pun la dispoziția tuturor participanților în aceeași formă. Actul de confirmare a vizitei se anexează la ofertă.</w:t>
            </w:r>
          </w:p>
        </w:tc>
      </w:tr>
      <w:tr w:rsidR="00AF0426" w14:paraId="3E09A6A6"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77F9B3" w14:textId="77777777" w:rsidR="00AF0426" w:rsidRDefault="00FD1403">
            <w:pPr>
              <w:spacing w:after="40"/>
            </w:pPr>
            <w:r>
              <w:rPr>
                <w:rFonts w:ascii="Times New Roman" w:eastAsia="Times New Roman" w:hAnsi="Times New Roman" w:cs="Times New Roman"/>
                <w:b/>
                <w:bCs/>
              </w:rPr>
              <w:t>2.7. Condiții de egalitate</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B33BCA" w14:textId="77777777" w:rsidR="00AF0426" w:rsidRDefault="00FD1403">
            <w:pPr>
              <w:spacing w:after="40"/>
            </w:pPr>
            <w:r>
              <w:rPr>
                <w:rFonts w:ascii="Times New Roman" w:eastAsia="Times New Roman" w:hAnsi="Times New Roman" w:cs="Times New Roman"/>
              </w:rPr>
              <w:t>Participarea proiectantului, a persoanelor afiliate și a subcontractanților săi la achiziția ulterioară a lucrărilor este admisă numai în condiții de egalitate: întreaga documentație de proiect se pune la dispoziția tuturor ofertanților, iar proiectantul declară relațiile comerciale cu producători și furnizori de sisteme de stingere. Documentația nu indică mărci, producători sau modele fără mențiunea „sau echivalent” și parametrii de echivalență.</w:t>
            </w:r>
          </w:p>
        </w:tc>
      </w:tr>
    </w:tbl>
    <w:p w14:paraId="134B084C" w14:textId="77777777" w:rsidR="00AF0426" w:rsidRDefault="00FD1403">
      <w:pPr>
        <w:spacing w:after="40"/>
        <w:jc w:val="both"/>
      </w:pPr>
      <w:r>
        <w:rPr>
          <w:rFonts w:ascii="Times New Roman" w:eastAsia="Times New Roman" w:hAnsi="Times New Roman" w:cs="Times New Roman"/>
          <w:i/>
          <w:iCs/>
        </w:rPr>
        <w:t>O cerință minimă neîndeplinită atrage respingerea ofertei. Experiența și personalul subcontractanților se iau în considerare numai dacă aceștia sunt declarați în ofertă.</w:t>
      </w:r>
    </w:p>
    <w:p w14:paraId="408A04DB" w14:textId="77777777" w:rsidR="00AF0426" w:rsidRDefault="00FD1403">
      <w:pPr>
        <w:keepNext/>
        <w:spacing w:before="240" w:after="120"/>
      </w:pPr>
      <w:r>
        <w:rPr>
          <w:rFonts w:ascii="Times New Roman" w:eastAsia="Times New Roman" w:hAnsi="Times New Roman" w:cs="Times New Roman"/>
          <w:b/>
          <w:bCs/>
          <w:sz w:val="26"/>
          <w:szCs w:val="26"/>
        </w:rPr>
        <w:lastRenderedPageBreak/>
        <w:t>III. PREZENTAREA OFERTEI</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0"/>
        <w:gridCol w:w="7089"/>
      </w:tblGrid>
      <w:tr w:rsidR="00AF0426" w14:paraId="16837307"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9E916B6" w14:textId="77777777" w:rsidR="00AF0426" w:rsidRDefault="00FD1403">
            <w:pPr>
              <w:spacing w:after="40"/>
            </w:pPr>
            <w:r>
              <w:rPr>
                <w:rFonts w:ascii="Times New Roman" w:eastAsia="Times New Roman" w:hAnsi="Times New Roman" w:cs="Times New Roman"/>
                <w:b/>
                <w:bCs/>
              </w:rPr>
              <w:t>3.1. Modul de întocmire și adresa de prezentare a ofertei</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18ECBA" w14:textId="4E67FAB3" w:rsidR="00AF0426" w:rsidRDefault="00FD1403">
            <w:pPr>
              <w:spacing w:after="40"/>
            </w:pPr>
            <w:r>
              <w:rPr>
                <w:rFonts w:ascii="Times New Roman" w:eastAsia="Times New Roman" w:hAnsi="Times New Roman" w:cs="Times New Roman"/>
              </w:rPr>
              <w:t xml:space="preserve">3.1.1. Data limită de prezentare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ofertei: __</w:t>
            </w:r>
            <w:r w:rsidR="009811C8">
              <w:rPr>
                <w:rFonts w:ascii="Times New Roman" w:eastAsia="Times New Roman" w:hAnsi="Times New Roman" w:cs="Times New Roman"/>
              </w:rPr>
              <w:t>19.10.2026</w:t>
            </w:r>
            <w:r>
              <w:rPr>
                <w:rFonts w:ascii="Times New Roman" w:eastAsia="Times New Roman" w:hAnsi="Times New Roman" w:cs="Times New Roman"/>
              </w:rPr>
              <w:t>__, ora _</w:t>
            </w:r>
            <w:r w:rsidR="009811C8">
              <w:rPr>
                <w:rFonts w:ascii="Times New Roman" w:eastAsia="Times New Roman" w:hAnsi="Times New Roman" w:cs="Times New Roman"/>
              </w:rPr>
              <w:t>12:00</w:t>
            </w:r>
            <w:r>
              <w:rPr>
                <w:rFonts w:ascii="Times New Roman" w:eastAsia="Times New Roman" w:hAnsi="Times New Roman" w:cs="Times New Roman"/>
              </w:rPr>
              <w:t>_.</w:t>
            </w:r>
          </w:p>
          <w:p w14:paraId="2D3E86A5" w14:textId="77777777" w:rsidR="00AF0426" w:rsidRDefault="00FD1403">
            <w:pPr>
              <w:spacing w:after="40"/>
            </w:pPr>
            <w:r>
              <w:rPr>
                <w:rFonts w:ascii="Times New Roman" w:eastAsia="Times New Roman" w:hAnsi="Times New Roman" w:cs="Times New Roman"/>
              </w:rPr>
              <w:t>3.1.2. Persoana responsabilă de recepționarea ofertei: Diana Ciobanaș, tel. +373 22 570 792, mob. 067 198 342.</w:t>
            </w:r>
          </w:p>
          <w:p w14:paraId="52C03112" w14:textId="77777777" w:rsidR="00AF0426" w:rsidRDefault="00FD1403">
            <w:pPr>
              <w:spacing w:after="40"/>
            </w:pPr>
            <w:r>
              <w:rPr>
                <w:rFonts w:ascii="Times New Roman" w:eastAsia="Times New Roman" w:hAnsi="Times New Roman" w:cs="Times New Roman"/>
              </w:rPr>
              <w:t>3.1.3. Modul de întocmire a ofertei: limba română; oferta și documentele se întocmesc clar, fără corectări, cu număr și dată de ieșire, cu semnătura persoanei responsabile, în plic sigilat; fiecare pagină a ofertei și a documentelor anexate se semnează și, după caz, se ștampilează; pe plic se menționează „Ofertă pentru servicii de proiectare – sala 403B”, denumirea și adresa ofertantului.</w:t>
            </w:r>
          </w:p>
          <w:p w14:paraId="3227642B" w14:textId="77777777" w:rsidR="00AF0426" w:rsidRDefault="00FD1403">
            <w:pPr>
              <w:spacing w:after="40"/>
            </w:pPr>
            <w:r>
              <w:rPr>
                <w:rFonts w:ascii="Times New Roman" w:eastAsia="Times New Roman" w:hAnsi="Times New Roman" w:cs="Times New Roman"/>
              </w:rPr>
              <w:t>3.1.4. Modul de prezentare: pe suport de hârtie, la adresa mun. Chișinău, bd. Ștefan cel Mare și Sfânt 10.</w:t>
            </w:r>
          </w:p>
          <w:p w14:paraId="2C3A9D4A" w14:textId="312F3DCD" w:rsidR="00AF0426" w:rsidRDefault="00FD1403">
            <w:pPr>
              <w:spacing w:after="40"/>
            </w:pPr>
            <w:r>
              <w:rPr>
                <w:rFonts w:ascii="Times New Roman" w:eastAsia="Times New Roman" w:hAnsi="Times New Roman" w:cs="Times New Roman"/>
              </w:rPr>
              <w:t xml:space="preserve">3.1.5. Deschiderea ofertelor: în incinta S.A. „Moldtelecom”, bd. Ștefan cel Mare și Sfânt 10, la data de </w:t>
            </w:r>
            <w:r w:rsidR="009811C8">
              <w:rPr>
                <w:rFonts w:ascii="Times New Roman" w:eastAsia="Times New Roman" w:hAnsi="Times New Roman" w:cs="Times New Roman"/>
              </w:rPr>
              <w:t>20.10.2026</w:t>
            </w:r>
            <w:r>
              <w:rPr>
                <w:rFonts w:ascii="Times New Roman" w:eastAsia="Times New Roman" w:hAnsi="Times New Roman" w:cs="Times New Roman"/>
              </w:rPr>
              <w:t>, ora</w:t>
            </w:r>
            <w:r w:rsidR="009811C8">
              <w:rPr>
                <w:rFonts w:ascii="Times New Roman" w:eastAsia="Times New Roman" w:hAnsi="Times New Roman" w:cs="Times New Roman"/>
              </w:rPr>
              <w:t xml:space="preserve">  10:00</w:t>
            </w:r>
            <w:r>
              <w:rPr>
                <w:rFonts w:ascii="Times New Roman" w:eastAsia="Times New Roman" w:hAnsi="Times New Roman" w:cs="Times New Roman"/>
              </w:rPr>
              <w:t>.</w:t>
            </w:r>
            <w:bookmarkStart w:id="0" w:name="_GoBack"/>
            <w:bookmarkEnd w:id="0"/>
          </w:p>
          <w:p w14:paraId="5FB0E74A" w14:textId="77777777" w:rsidR="00AF0426" w:rsidRDefault="00FD1403">
            <w:pPr>
              <w:spacing w:after="40"/>
            </w:pPr>
            <w:r>
              <w:rPr>
                <w:rFonts w:ascii="Times New Roman" w:eastAsia="Times New Roman" w:hAnsi="Times New Roman" w:cs="Times New Roman"/>
              </w:rPr>
              <w:t>3.1.6. Valabilitatea ofertei: 60 zile calendaristice de la data limită de prezentare.</w:t>
            </w:r>
          </w:p>
          <w:p w14:paraId="20A5DFB2" w14:textId="77777777" w:rsidR="00AF0426" w:rsidRDefault="00FD1403">
            <w:pPr>
              <w:spacing w:after="40"/>
            </w:pPr>
            <w:r>
              <w:rPr>
                <w:rFonts w:ascii="Times New Roman" w:eastAsia="Times New Roman" w:hAnsi="Times New Roman" w:cs="Times New Roman"/>
              </w:rPr>
              <w:t>3.1.7. Clarificări: în scris, până cu 7 zile lucrătoare înainte de data limită; răspunsurile se transmit tuturor participanților până cu 4 zile lucrătoare înainte de data limită.</w:t>
            </w:r>
          </w:p>
        </w:tc>
      </w:tr>
      <w:tr w:rsidR="00AF0426" w14:paraId="0E10B64B"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BE09255" w14:textId="77777777" w:rsidR="00AF0426" w:rsidRDefault="00FD1403">
            <w:pPr>
              <w:spacing w:after="40"/>
            </w:pPr>
            <w:r>
              <w:rPr>
                <w:rFonts w:ascii="Times New Roman" w:eastAsia="Times New Roman" w:hAnsi="Times New Roman" w:cs="Times New Roman"/>
                <w:b/>
                <w:bCs/>
              </w:rPr>
              <w:t>3.2. Propunerea tehnică</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5AA8F7" w14:textId="77777777" w:rsidR="00AF0426" w:rsidRDefault="00FD1403">
            <w:pPr>
              <w:spacing w:after="40"/>
            </w:pPr>
            <w:r>
              <w:rPr>
                <w:rFonts w:ascii="Times New Roman" w:eastAsia="Times New Roman" w:hAnsi="Times New Roman" w:cs="Times New Roman"/>
              </w:rPr>
              <w:t>Conține: metodologia de elaborare pe faze; calendarul de lucru; echipa (pct. 2.4); lista proiectelor de referință (pct. 2.5); lista subcontractanților și partea din servicii care le revine; actul de confirmare a vizitei; confirmarea acceptării integrale a Temei de proiectare (Anexa nr. 1), fără rezerve.</w:t>
            </w:r>
          </w:p>
        </w:tc>
      </w:tr>
      <w:tr w:rsidR="00AF0426" w14:paraId="5C831D46"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2E1551" w14:textId="77777777" w:rsidR="00AF0426" w:rsidRDefault="00FD1403">
            <w:pPr>
              <w:spacing w:after="40"/>
            </w:pPr>
            <w:r>
              <w:rPr>
                <w:rFonts w:ascii="Times New Roman" w:eastAsia="Times New Roman" w:hAnsi="Times New Roman" w:cs="Times New Roman"/>
                <w:b/>
                <w:bCs/>
              </w:rPr>
              <w:t>3.3. Propunerea financiară</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F4A100" w14:textId="77777777" w:rsidR="00AF0426" w:rsidRDefault="00FD1403">
            <w:pPr>
              <w:spacing w:after="40"/>
            </w:pPr>
            <w:r>
              <w:rPr>
                <w:rFonts w:ascii="Times New Roman" w:eastAsia="Times New Roman" w:hAnsi="Times New Roman" w:cs="Times New Roman"/>
              </w:rPr>
              <w:t>3.3.1. Oferta include toate costurile aferente prestării serviciilor.</w:t>
            </w:r>
          </w:p>
          <w:p w14:paraId="3FD153A8" w14:textId="77777777" w:rsidR="00AF0426" w:rsidRDefault="00FD1403">
            <w:pPr>
              <w:spacing w:after="40"/>
            </w:pPr>
            <w:r>
              <w:rPr>
                <w:rFonts w:ascii="Times New Roman" w:eastAsia="Times New Roman" w:hAnsi="Times New Roman" w:cs="Times New Roman"/>
              </w:rPr>
              <w:t>3.3.2. Prețul serviciilor de proiectare, cu TVA inclus, total și defalcat pe Fazele 1–3 și pe componentele A, B și C, conform formularului serviciului logistică.</w:t>
            </w:r>
          </w:p>
        </w:tc>
      </w:tr>
      <w:tr w:rsidR="00AF0426" w14:paraId="11B5BF1A"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06E24B" w14:textId="77777777" w:rsidR="00AF0426" w:rsidRDefault="00FD1403">
            <w:pPr>
              <w:spacing w:after="40"/>
            </w:pPr>
            <w:r>
              <w:rPr>
                <w:rFonts w:ascii="Times New Roman" w:eastAsia="Times New Roman" w:hAnsi="Times New Roman" w:cs="Times New Roman"/>
                <w:b/>
                <w:bCs/>
              </w:rPr>
              <w:t>3.4. Modalități de plată</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24253E" w14:textId="7C1E88FD" w:rsidR="00AF0426" w:rsidRDefault="00FD1403" w:rsidP="00D06270">
            <w:pPr>
              <w:spacing w:after="40"/>
            </w:pPr>
            <w:r>
              <w:rPr>
                <w:rFonts w:ascii="Times New Roman" w:eastAsia="Times New Roman" w:hAnsi="Times New Roman" w:cs="Times New Roman"/>
              </w:rPr>
              <w:t>Plata se efectuează în termen de 30 zile bancare de la primirea documentelor emise de prestator care confirmă prestarea serviciilor: factura și actul de îndeplinire a serviciilor.</w:t>
            </w:r>
          </w:p>
        </w:tc>
      </w:tr>
      <w:tr w:rsidR="00AF0426" w14:paraId="22C0433B"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470FA6D" w14:textId="77777777" w:rsidR="00AF0426" w:rsidRDefault="00FD1403">
            <w:pPr>
              <w:spacing w:after="40"/>
            </w:pPr>
            <w:r>
              <w:rPr>
                <w:rFonts w:ascii="Times New Roman" w:eastAsia="Times New Roman" w:hAnsi="Times New Roman" w:cs="Times New Roman"/>
                <w:b/>
                <w:bCs/>
              </w:rPr>
              <w:t>3.5. Evaluarea ofertelor</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43E0FD" w14:textId="77777777" w:rsidR="00AF0426" w:rsidRDefault="00FD1403">
            <w:pPr>
              <w:spacing w:after="40"/>
            </w:pPr>
            <w:r>
              <w:rPr>
                <w:rFonts w:ascii="Times New Roman" w:eastAsia="Times New Roman" w:hAnsi="Times New Roman" w:cs="Times New Roman"/>
              </w:rPr>
              <w:t>Etapa 1 – conformitate și calificare: documentele din Capitolul IV, cerințele minime (pct. 2.4–2.7) și acceptarea Temei de proiectare. Oferta care nu îndeplinește o cerință sau conține rezerve față de Tema de proiectare se respinge.</w:t>
            </w:r>
          </w:p>
          <w:p w14:paraId="301B4F5C" w14:textId="77777777" w:rsidR="00AF0426" w:rsidRDefault="00FD1403">
            <w:pPr>
              <w:spacing w:after="40"/>
            </w:pPr>
            <w:r>
              <w:rPr>
                <w:rFonts w:ascii="Times New Roman" w:eastAsia="Times New Roman" w:hAnsi="Times New Roman" w:cs="Times New Roman"/>
              </w:rPr>
              <w:t>Etapa 2 – criteriul de atribuire: cel mai mic preț total cu TVA dintre ofertele conforme. Erorile aritmetice se corectează (prevalează prețul unitar față de total și suma în litere față de cea în cifre); refuzul corectării atrage respingerea ofertei. Pentru un preț aparent neobișnuit de scăzut comisia solicită justificarea; oferta se respinge numai dacă justificarea nu demonstrează că prețul acoperă volumul integral al serviciilor.</w:t>
            </w:r>
          </w:p>
        </w:tc>
      </w:tr>
      <w:tr w:rsidR="00AF0426" w14:paraId="714869CC" w14:textId="77777777">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DFFADC" w14:textId="77777777" w:rsidR="00AF0426" w:rsidRDefault="00FD1403">
            <w:pPr>
              <w:spacing w:after="40"/>
            </w:pPr>
            <w:r>
              <w:rPr>
                <w:rFonts w:ascii="Times New Roman" w:eastAsia="Times New Roman" w:hAnsi="Times New Roman" w:cs="Times New Roman"/>
                <w:b/>
                <w:bCs/>
              </w:rPr>
              <w:t>3.6. Condiții contractuale principale</w:t>
            </w:r>
          </w:p>
        </w:tc>
        <w:tc>
          <w:tcPr>
            <w:tcW w:w="70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FA7AE40" w14:textId="77777777" w:rsidR="00AF0426" w:rsidRDefault="00FD1403">
            <w:pPr>
              <w:spacing w:after="40"/>
            </w:pPr>
            <w:r>
              <w:rPr>
                <w:rFonts w:ascii="Times New Roman" w:eastAsia="Times New Roman" w:hAnsi="Times New Roman" w:cs="Times New Roman"/>
              </w:rPr>
              <w:t>Penalități: 0,1% din valoarea fazei nefinalizate pentru fiecare zi de întârziere, maximum 10% din valoarea contractului; termenele nu curg pe durata întârzierilor datorate Beneficiarului sau autorităților.</w:t>
            </w:r>
          </w:p>
          <w:p w14:paraId="3ED4AF68" w14:textId="77777777" w:rsidR="00AF0426" w:rsidRDefault="00FD1403">
            <w:pPr>
              <w:spacing w:after="40"/>
            </w:pPr>
            <w:r>
              <w:rPr>
                <w:rFonts w:ascii="Times New Roman" w:eastAsia="Times New Roman" w:hAnsi="Times New Roman" w:cs="Times New Roman"/>
              </w:rPr>
              <w:t>Erorile și omisiunile de proiect constatate la verificare, avizare sau pe durata lucrărilor se remediază fără cost suplimentar, în termenul de la pct. 2.3.</w:t>
            </w:r>
          </w:p>
          <w:p w14:paraId="005A00AD" w14:textId="77777777" w:rsidR="00AF0426" w:rsidRDefault="00FD1403">
            <w:pPr>
              <w:spacing w:after="40"/>
            </w:pPr>
            <w:r>
              <w:rPr>
                <w:rFonts w:ascii="Times New Roman" w:eastAsia="Times New Roman" w:hAnsi="Times New Roman" w:cs="Times New Roman"/>
              </w:rPr>
              <w:lastRenderedPageBreak/>
              <w:t>Drepturile patrimoniale asupra documentației, inclusiv asupra fișierelor-sursă editabile, se transmit Beneficiarului la recepție.</w:t>
            </w:r>
          </w:p>
          <w:p w14:paraId="17D8A2CC" w14:textId="77777777" w:rsidR="00AF0426" w:rsidRDefault="00FD1403">
            <w:pPr>
              <w:spacing w:after="40"/>
            </w:pPr>
            <w:r>
              <w:rPr>
                <w:rFonts w:ascii="Times New Roman" w:eastAsia="Times New Roman" w:hAnsi="Times New Roman" w:cs="Times New Roman"/>
              </w:rPr>
              <w:t>Documentația și datele despre obiect nu se divulgă terților, cu excepția subcontractanților declarați, care semnează NDA.</w:t>
            </w:r>
          </w:p>
          <w:p w14:paraId="6CEA3D8E" w14:textId="77777777" w:rsidR="00AF0426" w:rsidRDefault="00FD1403">
            <w:pPr>
              <w:spacing w:after="40"/>
            </w:pPr>
            <w:r>
              <w:rPr>
                <w:rFonts w:ascii="Times New Roman" w:eastAsia="Times New Roman" w:hAnsi="Times New Roman" w:cs="Times New Roman"/>
              </w:rPr>
              <w:t>Fiecare fază se recepționează prin act de recepție semnat de ambele părți.</w:t>
            </w:r>
          </w:p>
        </w:tc>
      </w:tr>
    </w:tbl>
    <w:p w14:paraId="020FBB36" w14:textId="77777777" w:rsidR="00AF0426" w:rsidRDefault="00FD1403">
      <w:pPr>
        <w:keepNext/>
        <w:spacing w:before="240" w:after="120"/>
      </w:pPr>
      <w:r>
        <w:rPr>
          <w:rFonts w:ascii="Times New Roman" w:eastAsia="Times New Roman" w:hAnsi="Times New Roman" w:cs="Times New Roman"/>
          <w:b/>
          <w:bCs/>
          <w:sz w:val="26"/>
          <w:szCs w:val="26"/>
        </w:rPr>
        <w:lastRenderedPageBreak/>
        <w:t>IV. SETUL DE ACTE</w:t>
      </w:r>
    </w:p>
    <w:p w14:paraId="308DC316" w14:textId="77777777" w:rsidR="00AF0426" w:rsidRDefault="00FD1403">
      <w:pPr>
        <w:spacing w:after="80"/>
        <w:jc w:val="both"/>
      </w:pPr>
      <w:r>
        <w:rPr>
          <w:rFonts w:ascii="Times New Roman" w:eastAsia="Times New Roman" w:hAnsi="Times New Roman" w:cs="Times New Roman"/>
          <w:sz w:val="24"/>
          <w:szCs w:val="24"/>
        </w:rPr>
        <w:t>Oferta conține și confirmă informația solicitată la Capitolele II și III. Pentru confirmarea capacității și calificării ofertantului se prezintă obligatoriu următorul set de documente:</w:t>
      </w:r>
    </w:p>
    <w:p w14:paraId="4981ECE0" w14:textId="77777777" w:rsidR="00AF0426" w:rsidRDefault="00FD1403">
      <w:pPr>
        <w:spacing w:after="40"/>
        <w:ind w:left="567" w:hanging="283"/>
        <w:jc w:val="both"/>
      </w:pPr>
      <w:r>
        <w:rPr>
          <w:rFonts w:ascii="Times New Roman" w:eastAsia="Times New Roman" w:hAnsi="Times New Roman" w:cs="Times New Roman"/>
          <w:sz w:val="24"/>
          <w:szCs w:val="24"/>
        </w:rPr>
        <w:t>a) extrasul din Registrul de stat al persoanelor juridice; persoana juridică nerezidentă prezintă documentele din țara de origine care dovedesc forma de înregistrare;</w:t>
      </w:r>
    </w:p>
    <w:p w14:paraId="18691B9A" w14:textId="77777777" w:rsidR="00AF0426" w:rsidRDefault="00FD1403">
      <w:pPr>
        <w:spacing w:after="40"/>
        <w:ind w:left="567" w:hanging="283"/>
        <w:jc w:val="both"/>
      </w:pPr>
      <w:r>
        <w:rPr>
          <w:rFonts w:ascii="Times New Roman" w:eastAsia="Times New Roman" w:hAnsi="Times New Roman" w:cs="Times New Roman"/>
          <w:sz w:val="24"/>
          <w:szCs w:val="24"/>
        </w:rPr>
        <w:t>b) raportul financiar – copie pentru ultimii 2 ani, confirmată prin semnătura și, după caz, ștampila ofertantului;</w:t>
      </w:r>
    </w:p>
    <w:p w14:paraId="1354AEB3" w14:textId="77777777" w:rsidR="00AF0426" w:rsidRDefault="00FD1403">
      <w:pPr>
        <w:spacing w:after="40"/>
        <w:ind w:left="567" w:hanging="283"/>
        <w:jc w:val="both"/>
      </w:pPr>
      <w:r>
        <w:rPr>
          <w:rFonts w:ascii="Times New Roman" w:eastAsia="Times New Roman" w:hAnsi="Times New Roman" w:cs="Times New Roman"/>
          <w:sz w:val="24"/>
          <w:szCs w:val="24"/>
        </w:rPr>
        <w:t>c) dovada privind lipsa datoriilor față de Bugetul Public Național;</w:t>
      </w:r>
    </w:p>
    <w:p w14:paraId="32BED501" w14:textId="77777777" w:rsidR="00AF0426" w:rsidRDefault="00FD1403">
      <w:pPr>
        <w:spacing w:after="40"/>
        <w:ind w:left="567" w:hanging="283"/>
        <w:jc w:val="both"/>
      </w:pPr>
      <w:r>
        <w:rPr>
          <w:rFonts w:ascii="Times New Roman" w:eastAsia="Times New Roman" w:hAnsi="Times New Roman" w:cs="Times New Roman"/>
          <w:sz w:val="24"/>
          <w:szCs w:val="24"/>
        </w:rPr>
        <w:t>d) oferta financiară semnată, numerotată și, după caz, ștampilată;</w:t>
      </w:r>
    </w:p>
    <w:p w14:paraId="5DFE683E" w14:textId="77777777" w:rsidR="00AF0426" w:rsidRDefault="00FD1403">
      <w:pPr>
        <w:spacing w:after="40"/>
        <w:ind w:left="567" w:hanging="283"/>
        <w:jc w:val="both"/>
      </w:pPr>
      <w:r>
        <w:rPr>
          <w:rFonts w:ascii="Times New Roman" w:eastAsia="Times New Roman" w:hAnsi="Times New Roman" w:cs="Times New Roman"/>
          <w:sz w:val="24"/>
          <w:szCs w:val="24"/>
        </w:rPr>
        <w:t>e) declarația privind beneficiarul efectiv (final) al companiei (Anexa nr. 2);</w:t>
      </w:r>
    </w:p>
    <w:p w14:paraId="03F20D69" w14:textId="77777777" w:rsidR="00AF0426" w:rsidRDefault="00FD1403">
      <w:pPr>
        <w:spacing w:after="40"/>
        <w:ind w:left="567" w:hanging="283"/>
        <w:jc w:val="both"/>
      </w:pPr>
      <w:r>
        <w:rPr>
          <w:rFonts w:ascii="Times New Roman" w:eastAsia="Times New Roman" w:hAnsi="Times New Roman" w:cs="Times New Roman"/>
          <w:sz w:val="24"/>
          <w:szCs w:val="24"/>
        </w:rPr>
        <w:t>f) declarația pe propria răspundere (Anexa nr. 3);</w:t>
      </w:r>
    </w:p>
    <w:p w14:paraId="77F9246C" w14:textId="77777777" w:rsidR="00AF0426" w:rsidRDefault="00FD1403">
      <w:pPr>
        <w:spacing w:after="40"/>
        <w:ind w:left="567" w:hanging="283"/>
        <w:jc w:val="both"/>
      </w:pPr>
      <w:r>
        <w:rPr>
          <w:rFonts w:ascii="Times New Roman" w:eastAsia="Times New Roman" w:hAnsi="Times New Roman" w:cs="Times New Roman"/>
          <w:sz w:val="24"/>
          <w:szCs w:val="24"/>
        </w:rPr>
        <w:t>g) informația despre ofertant: date generale, obiectul de activitate conform statutului, principala piață de afaceri, cifra de afaceri pe ultimii 2 ani, disponibilitatea personalului;</w:t>
      </w:r>
    </w:p>
    <w:p w14:paraId="2BF734AD" w14:textId="77777777" w:rsidR="00AF0426" w:rsidRDefault="00FD1403">
      <w:pPr>
        <w:spacing w:after="40"/>
        <w:ind w:left="567" w:hanging="283"/>
        <w:jc w:val="both"/>
      </w:pPr>
      <w:r>
        <w:rPr>
          <w:rFonts w:ascii="Times New Roman" w:eastAsia="Times New Roman" w:hAnsi="Times New Roman" w:cs="Times New Roman"/>
          <w:sz w:val="24"/>
          <w:szCs w:val="24"/>
        </w:rPr>
        <w:t>h) copia certificatului de atestare tehnico-profesională pentru proiectarea instalațiilor de stingere și semnalizare a incendiilor și, după caz, atestatele pentru secțiunile B și C (proprii sau ale subcontractanților declarați);</w:t>
      </w:r>
    </w:p>
    <w:p w14:paraId="45ACAAFD" w14:textId="77777777" w:rsidR="00AF0426" w:rsidRDefault="00FD1403">
      <w:pPr>
        <w:spacing w:after="40"/>
        <w:ind w:left="567" w:hanging="283"/>
        <w:jc w:val="both"/>
      </w:pPr>
      <w:r>
        <w:rPr>
          <w:rFonts w:ascii="Times New Roman" w:eastAsia="Times New Roman" w:hAnsi="Times New Roman" w:cs="Times New Roman"/>
          <w:sz w:val="24"/>
          <w:szCs w:val="24"/>
        </w:rPr>
        <w:t>i) certificatul de înregistrare ca plătitor de TVA sau declarația privind statutul de neplătitor;</w:t>
      </w:r>
    </w:p>
    <w:p w14:paraId="0C287318" w14:textId="77777777" w:rsidR="00AF0426" w:rsidRDefault="00FD1403">
      <w:pPr>
        <w:spacing w:after="40"/>
        <w:ind w:left="567" w:hanging="283"/>
        <w:jc w:val="both"/>
      </w:pPr>
      <w:r>
        <w:rPr>
          <w:rFonts w:ascii="Times New Roman" w:eastAsia="Times New Roman" w:hAnsi="Times New Roman" w:cs="Times New Roman"/>
          <w:sz w:val="24"/>
          <w:szCs w:val="24"/>
        </w:rPr>
        <w:t>j) lista beneficiarilor cărora le-au fost prestate servicii similare (pct. 2.5), cu recomandări sau acte de recepție;</w:t>
      </w:r>
    </w:p>
    <w:p w14:paraId="06D428A1" w14:textId="77777777" w:rsidR="00AF0426" w:rsidRDefault="00FD1403">
      <w:pPr>
        <w:spacing w:after="40"/>
        <w:ind w:left="567" w:hanging="283"/>
        <w:jc w:val="both"/>
      </w:pPr>
      <w:r>
        <w:rPr>
          <w:rFonts w:ascii="Times New Roman" w:eastAsia="Times New Roman" w:hAnsi="Times New Roman" w:cs="Times New Roman"/>
          <w:sz w:val="24"/>
          <w:szCs w:val="24"/>
        </w:rPr>
        <w:t>k) CV-urile și copiile atestatelor proiectanților (pct. 2.4);</w:t>
      </w:r>
    </w:p>
    <w:p w14:paraId="142751DA" w14:textId="77777777" w:rsidR="00AF0426" w:rsidRDefault="00FD1403">
      <w:pPr>
        <w:spacing w:after="40"/>
        <w:ind w:left="567" w:hanging="283"/>
        <w:jc w:val="both"/>
      </w:pPr>
      <w:r>
        <w:rPr>
          <w:rFonts w:ascii="Times New Roman" w:eastAsia="Times New Roman" w:hAnsi="Times New Roman" w:cs="Times New Roman"/>
          <w:sz w:val="24"/>
          <w:szCs w:val="24"/>
        </w:rPr>
        <w:t>l) propunerea tehnică (pct. 3.2) și actul de confirmare a vizitei.</w:t>
      </w:r>
    </w:p>
    <w:p w14:paraId="437BD5DD" w14:textId="77777777" w:rsidR="00AF0426" w:rsidRDefault="00FD1403">
      <w:pPr>
        <w:spacing w:after="80"/>
        <w:jc w:val="both"/>
      </w:pPr>
      <w:r>
        <w:rPr>
          <w:rFonts w:ascii="Times New Roman" w:eastAsia="Times New Roman" w:hAnsi="Times New Roman" w:cs="Times New Roman"/>
          <w:sz w:val="24"/>
          <w:szCs w:val="24"/>
        </w:rPr>
        <w:t xml:space="preserve"> </w:t>
      </w:r>
    </w:p>
    <w:p w14:paraId="00C84592" w14:textId="77777777" w:rsidR="00AF0426" w:rsidRDefault="00FD1403">
      <w:pPr>
        <w:spacing w:after="80"/>
      </w:pPr>
      <w:r>
        <w:rPr>
          <w:rFonts w:ascii="Times New Roman" w:eastAsia="Times New Roman" w:hAnsi="Times New Roman" w:cs="Times New Roman"/>
          <w:sz w:val="24"/>
          <w:szCs w:val="24"/>
        </w:rPr>
        <w:t>Persoana de contact pentru informații suplimentare: S. Istrati – 022 570 273, 067 199 273</w:t>
      </w:r>
    </w:p>
    <w:p w14:paraId="1E21B40E" w14:textId="77777777" w:rsidR="00AF0426" w:rsidRDefault="00FD1403">
      <w:pPr>
        <w:spacing w:after="8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0E05318A" w14:textId="77777777" w:rsidR="00005465" w:rsidRDefault="00005465">
      <w:pPr>
        <w:spacing w:after="80"/>
        <w:jc w:val="both"/>
        <w:rPr>
          <w:rFonts w:ascii="Times New Roman" w:eastAsia="Times New Roman" w:hAnsi="Times New Roman" w:cs="Times New Roman"/>
          <w:sz w:val="24"/>
          <w:szCs w:val="24"/>
        </w:rPr>
      </w:pPr>
    </w:p>
    <w:p w14:paraId="784A3FCD" w14:textId="77777777" w:rsidR="00005465" w:rsidRDefault="00005465">
      <w:pPr>
        <w:spacing w:after="80"/>
        <w:jc w:val="both"/>
        <w:rPr>
          <w:rFonts w:ascii="Times New Roman" w:eastAsia="Times New Roman" w:hAnsi="Times New Roman" w:cs="Times New Roman"/>
          <w:sz w:val="24"/>
          <w:szCs w:val="24"/>
        </w:rPr>
      </w:pPr>
    </w:p>
    <w:p w14:paraId="537E9AAA" w14:textId="77777777" w:rsidR="00005465" w:rsidRDefault="00005465" w:rsidP="00005465">
      <w:pPr>
        <w:tabs>
          <w:tab w:val="center" w:pos="5174"/>
        </w:tabs>
        <w:rPr>
          <w:rFonts w:asciiTheme="majorBidi" w:hAnsiTheme="majorBidi" w:cstheme="majorBidi"/>
          <w:b/>
          <w:sz w:val="28"/>
          <w:szCs w:val="28"/>
          <w:lang w:val="ro-RO"/>
        </w:rPr>
      </w:pPr>
    </w:p>
    <w:p w14:paraId="3B003F4E" w14:textId="77777777" w:rsidR="00005465" w:rsidRDefault="00005465" w:rsidP="00005465">
      <w:pPr>
        <w:tabs>
          <w:tab w:val="center" w:pos="5174"/>
        </w:tabs>
        <w:rPr>
          <w:rFonts w:asciiTheme="majorBidi" w:hAnsiTheme="majorBidi" w:cstheme="majorBidi"/>
          <w:b/>
          <w:sz w:val="28"/>
          <w:szCs w:val="28"/>
          <w:lang w:val="ro-RO"/>
        </w:rPr>
      </w:pPr>
      <w:r>
        <w:rPr>
          <w:rFonts w:asciiTheme="majorBidi" w:hAnsiTheme="majorBidi" w:cstheme="majorBidi"/>
          <w:b/>
          <w:sz w:val="28"/>
          <w:szCs w:val="28"/>
          <w:lang w:val="ro-RO"/>
        </w:rPr>
        <w:t xml:space="preserve">Director General Interimar                                           </w:t>
      </w:r>
      <w:r w:rsidRPr="00005465">
        <w:rPr>
          <w:rFonts w:asciiTheme="majorBidi" w:hAnsiTheme="majorBidi" w:cstheme="majorBidi"/>
          <w:b/>
          <w:sz w:val="28"/>
          <w:szCs w:val="28"/>
        </w:rPr>
        <w:t xml:space="preserve">      </w:t>
      </w:r>
      <w:r>
        <w:rPr>
          <w:rFonts w:asciiTheme="majorBidi" w:hAnsiTheme="majorBidi" w:cstheme="majorBidi"/>
          <w:b/>
          <w:sz w:val="28"/>
          <w:szCs w:val="28"/>
          <w:lang w:val="ro-RO"/>
        </w:rPr>
        <w:t>Viorel MOTORNIUC</w:t>
      </w:r>
    </w:p>
    <w:p w14:paraId="13895B1F" w14:textId="77777777" w:rsidR="00005465" w:rsidRDefault="00005465">
      <w:pPr>
        <w:spacing w:after="80"/>
        <w:jc w:val="both"/>
      </w:pPr>
    </w:p>
    <w:p w14:paraId="17796831" w14:textId="77777777" w:rsidR="00AF0426" w:rsidRDefault="00AF0426">
      <w:pPr>
        <w:pageBreakBefore/>
      </w:pPr>
    </w:p>
    <w:p w14:paraId="279ECE8F" w14:textId="77777777" w:rsidR="00AF0426" w:rsidRDefault="00FD1403">
      <w:pPr>
        <w:spacing w:after="80"/>
        <w:jc w:val="right"/>
      </w:pPr>
      <w:r>
        <w:rPr>
          <w:rFonts w:ascii="Times New Roman" w:eastAsia="Times New Roman" w:hAnsi="Times New Roman" w:cs="Times New Roman"/>
          <w:b/>
          <w:bCs/>
          <w:sz w:val="24"/>
          <w:szCs w:val="24"/>
        </w:rPr>
        <w:t>Anexa nr. 1</w:t>
      </w:r>
    </w:p>
    <w:p w14:paraId="1267049E" w14:textId="77777777" w:rsidR="00AF0426" w:rsidRDefault="00FD1403">
      <w:pPr>
        <w:spacing w:after="160"/>
        <w:jc w:val="center"/>
      </w:pPr>
      <w:r>
        <w:rPr>
          <w:rFonts w:ascii="Times New Roman" w:eastAsia="Times New Roman" w:hAnsi="Times New Roman" w:cs="Times New Roman"/>
          <w:b/>
          <w:bCs/>
          <w:sz w:val="28"/>
          <w:szCs w:val="28"/>
        </w:rPr>
        <w:t>TEMA DE PROIECTARE – SALA DE SERVERE 403B</w:t>
      </w:r>
    </w:p>
    <w:p w14:paraId="1528CB83" w14:textId="77777777" w:rsidR="00AF0426" w:rsidRDefault="00FD1403">
      <w:pPr>
        <w:keepNext/>
        <w:spacing w:before="240" w:after="120"/>
      </w:pPr>
      <w:r>
        <w:rPr>
          <w:rFonts w:ascii="Times New Roman" w:eastAsia="Times New Roman" w:hAnsi="Times New Roman" w:cs="Times New Roman"/>
          <w:b/>
          <w:bCs/>
          <w:sz w:val="26"/>
          <w:szCs w:val="26"/>
        </w:rPr>
        <w:t>1. Obiectul protecției</w:t>
      </w:r>
    </w:p>
    <w:p w14:paraId="59141736" w14:textId="77777777" w:rsidR="00AF0426" w:rsidRDefault="00FD1403">
      <w:pPr>
        <w:spacing w:after="80"/>
        <w:jc w:val="both"/>
      </w:pPr>
      <w:r>
        <w:rPr>
          <w:rFonts w:ascii="Times New Roman" w:eastAsia="Times New Roman" w:hAnsi="Times New Roman" w:cs="Times New Roman"/>
          <w:sz w:val="24"/>
          <w:szCs w:val="24"/>
        </w:rPr>
        <w:t>Sala de servere 403B este compusă din două săli adiacente, conectate printr-un gol permanent deschis, exploatate în regim 24/7/365, fără supraveghere permanentă. Sala este situată la etajul 4; deasupra se află spații de birouri (etajul 5); pereții exteriori au un gol de fereastră. În prezent sala este dotată numai cu semnalizare de incendiu, fără instalație automată de stingere. Configurația de referință pentru proiect: amplasarea actuală a echipamentelor IT; sarcina termică și electrică de calcul se comunică de Beneficiar și include scenariul de funcționare simultană a echipamentelor existente și a celor noi pe durata înlocuirii sau migrării sistemelor (sarcina de vârf). Proiectul nu depinde de amplasarea exactă a rack-urilor acolo unde acest lucru este posibil (acoperirea duzelor și a punctelor de prelevare pe întregul volum). Parametrii de mai jos sunt orientativi și se confirmă de proiectant prin relevee la fața locului.</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2000"/>
        <w:gridCol w:w="2000"/>
        <w:gridCol w:w="2038"/>
      </w:tblGrid>
      <w:tr w:rsidR="00AF0426" w14:paraId="574D4893" w14:textId="77777777">
        <w:trPr>
          <w:cantSplit/>
          <w:tblHeader/>
        </w:trPr>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72CB5C6A" w14:textId="77777777" w:rsidR="00AF0426" w:rsidRDefault="00FD1403">
            <w:pPr>
              <w:spacing w:after="40"/>
            </w:pPr>
            <w:r>
              <w:rPr>
                <w:rFonts w:ascii="Times New Roman" w:eastAsia="Times New Roman" w:hAnsi="Times New Roman" w:cs="Times New Roman"/>
                <w:b/>
                <w:bCs/>
                <w:sz w:val="20"/>
                <w:szCs w:val="20"/>
              </w:rPr>
              <w:t>Parametru</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7EA53AA0" w14:textId="77777777" w:rsidR="00AF0426" w:rsidRDefault="00FD1403">
            <w:pPr>
              <w:spacing w:after="40"/>
            </w:pPr>
            <w:r>
              <w:rPr>
                <w:rFonts w:ascii="Times New Roman" w:eastAsia="Times New Roman" w:hAnsi="Times New Roman" w:cs="Times New Roman"/>
                <w:b/>
                <w:bCs/>
                <w:sz w:val="20"/>
                <w:szCs w:val="20"/>
              </w:rPr>
              <w:t>Sala 1</w:t>
            </w:r>
          </w:p>
        </w:tc>
        <w:tc>
          <w:tcPr>
            <w:tcW w:w="20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23C71086" w14:textId="77777777" w:rsidR="00AF0426" w:rsidRDefault="00FD1403">
            <w:pPr>
              <w:spacing w:after="40"/>
            </w:pPr>
            <w:r>
              <w:rPr>
                <w:rFonts w:ascii="Times New Roman" w:eastAsia="Times New Roman" w:hAnsi="Times New Roman" w:cs="Times New Roman"/>
                <w:b/>
                <w:bCs/>
                <w:sz w:val="20"/>
                <w:szCs w:val="20"/>
              </w:rPr>
              <w:t>Sala 2</w:t>
            </w:r>
          </w:p>
        </w:tc>
        <w:tc>
          <w:tcPr>
            <w:tcW w:w="2038"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26D1BD06" w14:textId="77777777" w:rsidR="00AF0426" w:rsidRDefault="00FD1403">
            <w:pPr>
              <w:spacing w:after="40"/>
            </w:pPr>
            <w:r>
              <w:rPr>
                <w:rFonts w:ascii="Times New Roman" w:eastAsia="Times New Roman" w:hAnsi="Times New Roman" w:cs="Times New Roman"/>
                <w:b/>
                <w:bCs/>
                <w:sz w:val="20"/>
                <w:szCs w:val="20"/>
              </w:rPr>
              <w:t>Total</w:t>
            </w:r>
          </w:p>
        </w:tc>
      </w:tr>
      <w:tr w:rsidR="00AF0426" w14:paraId="3A979004"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E60E7C" w14:textId="77777777" w:rsidR="00AF0426" w:rsidRDefault="00FD1403">
            <w:pPr>
              <w:spacing w:after="40"/>
            </w:pPr>
            <w:r>
              <w:rPr>
                <w:rFonts w:ascii="Times New Roman" w:eastAsia="Times New Roman" w:hAnsi="Times New Roman" w:cs="Times New Roman"/>
                <w:sz w:val="20"/>
                <w:szCs w:val="20"/>
              </w:rPr>
              <w:t>Suprafață</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C69824" w14:textId="77777777" w:rsidR="00AF0426" w:rsidRDefault="00FD1403">
            <w:pPr>
              <w:spacing w:after="40"/>
            </w:pPr>
            <w:r>
              <w:rPr>
                <w:rFonts w:ascii="Times New Roman" w:eastAsia="Times New Roman" w:hAnsi="Times New Roman" w:cs="Times New Roman"/>
                <w:sz w:val="20"/>
                <w:szCs w:val="20"/>
              </w:rPr>
              <w:t>36,72 m²</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BC788E7" w14:textId="77777777" w:rsidR="00AF0426" w:rsidRDefault="00FD1403">
            <w:pPr>
              <w:spacing w:after="40"/>
            </w:pPr>
            <w:r>
              <w:rPr>
                <w:rFonts w:ascii="Times New Roman" w:eastAsia="Times New Roman" w:hAnsi="Times New Roman" w:cs="Times New Roman"/>
                <w:sz w:val="20"/>
                <w:szCs w:val="20"/>
              </w:rPr>
              <w:t>30,78 m²</w:t>
            </w: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DBC814" w14:textId="77777777" w:rsidR="00AF0426" w:rsidRDefault="00FD1403">
            <w:pPr>
              <w:spacing w:after="40"/>
            </w:pPr>
            <w:r>
              <w:rPr>
                <w:rFonts w:ascii="Times New Roman" w:eastAsia="Times New Roman" w:hAnsi="Times New Roman" w:cs="Times New Roman"/>
                <w:sz w:val="20"/>
                <w:szCs w:val="20"/>
              </w:rPr>
              <w:t>67,50 m²</w:t>
            </w:r>
          </w:p>
        </w:tc>
      </w:tr>
      <w:tr w:rsidR="00AF0426" w14:paraId="4E88001F"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7CC0E5" w14:textId="77777777" w:rsidR="00AF0426" w:rsidRDefault="00FD1403">
            <w:pPr>
              <w:spacing w:after="40"/>
            </w:pPr>
            <w:r>
              <w:rPr>
                <w:rFonts w:ascii="Times New Roman" w:eastAsia="Times New Roman" w:hAnsi="Times New Roman" w:cs="Times New Roman"/>
                <w:sz w:val="20"/>
                <w:szCs w:val="20"/>
              </w:rPr>
              <w:t>Volum principal</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00EA0E" w14:textId="77777777" w:rsidR="00AF0426" w:rsidRDefault="00FD1403">
            <w:pPr>
              <w:spacing w:after="40"/>
            </w:pPr>
            <w:r>
              <w:rPr>
                <w:rFonts w:ascii="Times New Roman" w:eastAsia="Times New Roman" w:hAnsi="Times New Roman" w:cs="Times New Roman"/>
                <w:sz w:val="20"/>
                <w:szCs w:val="20"/>
              </w:rPr>
              <w:t>101,0 m³</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200542" w14:textId="77777777" w:rsidR="00AF0426" w:rsidRDefault="00FD1403">
            <w:pPr>
              <w:spacing w:after="40"/>
            </w:pPr>
            <w:r>
              <w:rPr>
                <w:rFonts w:ascii="Times New Roman" w:eastAsia="Times New Roman" w:hAnsi="Times New Roman" w:cs="Times New Roman"/>
                <w:sz w:val="20"/>
                <w:szCs w:val="20"/>
              </w:rPr>
              <w:t>84,6 m³</w:t>
            </w: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769D93" w14:textId="77777777" w:rsidR="00AF0426" w:rsidRDefault="00FD1403">
            <w:pPr>
              <w:spacing w:after="40"/>
            </w:pPr>
            <w:r>
              <w:rPr>
                <w:rFonts w:ascii="Times New Roman" w:eastAsia="Times New Roman" w:hAnsi="Times New Roman" w:cs="Times New Roman"/>
                <w:sz w:val="20"/>
                <w:szCs w:val="20"/>
              </w:rPr>
              <w:t>185,6 m³</w:t>
            </w:r>
          </w:p>
        </w:tc>
      </w:tr>
      <w:tr w:rsidR="00AF0426" w14:paraId="69FDA915"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279786E" w14:textId="77777777" w:rsidR="00AF0426" w:rsidRDefault="00FD1403">
            <w:pPr>
              <w:spacing w:after="40"/>
            </w:pPr>
            <w:r>
              <w:rPr>
                <w:rFonts w:ascii="Times New Roman" w:eastAsia="Times New Roman" w:hAnsi="Times New Roman" w:cs="Times New Roman"/>
                <w:sz w:val="20"/>
                <w:szCs w:val="20"/>
              </w:rPr>
              <w:t>Pardoseală tehnică (~0,4 m)</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90E05A1" w14:textId="77777777" w:rsidR="00AF0426" w:rsidRDefault="00FD1403">
            <w:pPr>
              <w:spacing w:after="40"/>
            </w:pPr>
            <w:r>
              <w:rPr>
                <w:rFonts w:ascii="Times New Roman" w:eastAsia="Times New Roman" w:hAnsi="Times New Roman" w:cs="Times New Roman"/>
                <w:sz w:val="20"/>
                <w:szCs w:val="20"/>
              </w:rPr>
              <w:t>14,7 m³</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FABA05" w14:textId="77777777" w:rsidR="00AF0426" w:rsidRDefault="00FD1403">
            <w:pPr>
              <w:spacing w:after="40"/>
            </w:pPr>
            <w:r>
              <w:rPr>
                <w:rFonts w:ascii="Times New Roman" w:eastAsia="Times New Roman" w:hAnsi="Times New Roman" w:cs="Times New Roman"/>
                <w:sz w:val="20"/>
                <w:szCs w:val="20"/>
              </w:rPr>
              <w:t>12,3 m³</w:t>
            </w: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2BF2510" w14:textId="77777777" w:rsidR="00AF0426" w:rsidRDefault="00FD1403">
            <w:pPr>
              <w:spacing w:after="40"/>
            </w:pPr>
            <w:r>
              <w:rPr>
                <w:rFonts w:ascii="Times New Roman" w:eastAsia="Times New Roman" w:hAnsi="Times New Roman" w:cs="Times New Roman"/>
                <w:sz w:val="20"/>
                <w:szCs w:val="20"/>
              </w:rPr>
              <w:t>27,0 m³</w:t>
            </w:r>
          </w:p>
        </w:tc>
      </w:tr>
      <w:tr w:rsidR="00AF0426" w14:paraId="331CBE10"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34C7567" w14:textId="77777777" w:rsidR="00AF0426" w:rsidRDefault="00FD1403">
            <w:pPr>
              <w:spacing w:after="40"/>
            </w:pPr>
            <w:r>
              <w:rPr>
                <w:rFonts w:ascii="Times New Roman" w:eastAsia="Times New Roman" w:hAnsi="Times New Roman" w:cs="Times New Roman"/>
                <w:sz w:val="20"/>
                <w:szCs w:val="20"/>
              </w:rPr>
              <w:t>Tavan fals (~0,5 m)</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740C409" w14:textId="77777777" w:rsidR="00AF0426" w:rsidRDefault="00FD1403">
            <w:pPr>
              <w:spacing w:after="40"/>
            </w:pPr>
            <w:r>
              <w:rPr>
                <w:rFonts w:ascii="Times New Roman" w:eastAsia="Times New Roman" w:hAnsi="Times New Roman" w:cs="Times New Roman"/>
                <w:sz w:val="20"/>
                <w:szCs w:val="20"/>
              </w:rPr>
              <w:t>18,4 m³</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AAD8262" w14:textId="77777777" w:rsidR="00AF0426" w:rsidRDefault="00FD1403">
            <w:pPr>
              <w:spacing w:after="40"/>
            </w:pPr>
            <w:r>
              <w:rPr>
                <w:rFonts w:ascii="Times New Roman" w:eastAsia="Times New Roman" w:hAnsi="Times New Roman" w:cs="Times New Roman"/>
                <w:sz w:val="20"/>
                <w:szCs w:val="20"/>
              </w:rPr>
              <w:t>15,4 m³</w:t>
            </w: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6FBFC5" w14:textId="77777777" w:rsidR="00AF0426" w:rsidRDefault="00FD1403">
            <w:pPr>
              <w:spacing w:after="40"/>
            </w:pPr>
            <w:r>
              <w:rPr>
                <w:rFonts w:ascii="Times New Roman" w:eastAsia="Times New Roman" w:hAnsi="Times New Roman" w:cs="Times New Roman"/>
                <w:sz w:val="20"/>
                <w:szCs w:val="20"/>
              </w:rPr>
              <w:t>33,8 m³</w:t>
            </w:r>
          </w:p>
        </w:tc>
      </w:tr>
      <w:tr w:rsidR="00AF0426" w14:paraId="5F8B909A" w14:textId="77777777">
        <w:trPr>
          <w:cantSplit/>
        </w:trPr>
        <w:tc>
          <w:tcPr>
            <w:tcW w:w="3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B428F4" w14:textId="77777777" w:rsidR="00AF0426" w:rsidRDefault="00FD1403">
            <w:pPr>
              <w:spacing w:after="40"/>
            </w:pPr>
            <w:r>
              <w:rPr>
                <w:rFonts w:ascii="Times New Roman" w:eastAsia="Times New Roman" w:hAnsi="Times New Roman" w:cs="Times New Roman"/>
                <w:sz w:val="20"/>
                <w:szCs w:val="20"/>
              </w:rPr>
              <w:t>Volum protejat total</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93FADF" w14:textId="77777777" w:rsidR="00AF0426" w:rsidRDefault="00FD1403">
            <w:pPr>
              <w:spacing w:after="40"/>
            </w:pPr>
            <w:r>
              <w:rPr>
                <w:rFonts w:ascii="Times New Roman" w:eastAsia="Times New Roman" w:hAnsi="Times New Roman" w:cs="Times New Roman"/>
                <w:sz w:val="20"/>
                <w:szCs w:val="20"/>
              </w:rPr>
              <w:t>–</w:t>
            </w:r>
          </w:p>
        </w:tc>
        <w:tc>
          <w:tcPr>
            <w:tcW w:w="20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A0C1BF3" w14:textId="77777777" w:rsidR="00AF0426" w:rsidRDefault="00FD1403">
            <w:pPr>
              <w:spacing w:after="40"/>
            </w:pPr>
            <w:r>
              <w:rPr>
                <w:rFonts w:ascii="Times New Roman" w:eastAsia="Times New Roman" w:hAnsi="Times New Roman" w:cs="Times New Roman"/>
                <w:sz w:val="20"/>
                <w:szCs w:val="20"/>
              </w:rPr>
              <w:t>–</w:t>
            </w:r>
          </w:p>
        </w:tc>
        <w:tc>
          <w:tcPr>
            <w:tcW w:w="2038"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98F213" w14:textId="77777777" w:rsidR="00AF0426" w:rsidRDefault="00FD1403">
            <w:pPr>
              <w:spacing w:after="40"/>
            </w:pPr>
            <w:r>
              <w:rPr>
                <w:rFonts w:ascii="Times New Roman" w:eastAsia="Times New Roman" w:hAnsi="Times New Roman" w:cs="Times New Roman"/>
                <w:sz w:val="20"/>
                <w:szCs w:val="20"/>
              </w:rPr>
              <w:t>~246 m³</w:t>
            </w:r>
          </w:p>
        </w:tc>
      </w:tr>
    </w:tbl>
    <w:p w14:paraId="08374BA6" w14:textId="77777777" w:rsidR="00AF0426" w:rsidRDefault="00FD1403">
      <w:pPr>
        <w:spacing w:after="100"/>
        <w:jc w:val="both"/>
      </w:pPr>
      <w:r>
        <w:rPr>
          <w:rFonts w:ascii="Times New Roman" w:eastAsia="Times New Roman" w:hAnsi="Times New Roman" w:cs="Times New Roman"/>
          <w:sz w:val="24"/>
          <w:szCs w:val="24"/>
        </w:rPr>
        <w:t>Zone de protecție: 1 – sub pardoseala tehnică; 2 – volumul principal al ambelor săli; 3 – deasupra tavanului fals. În volumul protejat se află echipamente IT cu HDD.</w:t>
      </w:r>
    </w:p>
    <w:p w14:paraId="4C5DE1C4" w14:textId="77777777" w:rsidR="00AF0426" w:rsidRDefault="00FD1403">
      <w:pPr>
        <w:keepNext/>
        <w:spacing w:before="240" w:after="120"/>
      </w:pPr>
      <w:r>
        <w:rPr>
          <w:rFonts w:ascii="Times New Roman" w:eastAsia="Times New Roman" w:hAnsi="Times New Roman" w:cs="Times New Roman"/>
          <w:b/>
          <w:bCs/>
          <w:sz w:val="26"/>
          <w:szCs w:val="26"/>
        </w:rPr>
        <w:t>2. Cerințe obligatorii față de soluția proiectată</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0"/>
        <w:gridCol w:w="7189"/>
      </w:tblGrid>
      <w:tr w:rsidR="00AF0426" w14:paraId="4F25420F" w14:textId="77777777">
        <w:trPr>
          <w:cantSplit/>
          <w:tblHeader/>
        </w:trPr>
        <w:tc>
          <w:tcPr>
            <w:tcW w:w="2500"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48AAFA76" w14:textId="77777777" w:rsidR="00AF0426" w:rsidRDefault="00FD1403">
            <w:pPr>
              <w:spacing w:after="40"/>
            </w:pPr>
            <w:r>
              <w:rPr>
                <w:rFonts w:ascii="Times New Roman" w:eastAsia="Times New Roman" w:hAnsi="Times New Roman" w:cs="Times New Roman"/>
                <w:b/>
                <w:bCs/>
                <w:sz w:val="20"/>
                <w:szCs w:val="20"/>
              </w:rPr>
              <w:t>Cerință</w:t>
            </w:r>
          </w:p>
        </w:tc>
        <w:tc>
          <w:tcPr>
            <w:tcW w:w="7189" w:type="dxa"/>
            <w:tcBorders>
              <w:top w:val="single" w:sz="4" w:space="0" w:color="000000"/>
              <w:left w:val="single" w:sz="4" w:space="0" w:color="000000"/>
              <w:bottom w:val="single" w:sz="4" w:space="0" w:color="000000"/>
              <w:right w:val="single" w:sz="4" w:space="0" w:color="000000"/>
            </w:tcBorders>
            <w:shd w:val="clear" w:color="auto" w:fill="D9D9D9"/>
            <w:tcMar>
              <w:top w:w="60" w:type="dxa"/>
              <w:left w:w="100" w:type="dxa"/>
              <w:bottom w:w="60" w:type="dxa"/>
              <w:right w:w="100" w:type="dxa"/>
            </w:tcMar>
          </w:tcPr>
          <w:p w14:paraId="62576E09" w14:textId="77777777" w:rsidR="00AF0426" w:rsidRDefault="00FD1403">
            <w:pPr>
              <w:spacing w:after="40"/>
            </w:pPr>
            <w:r>
              <w:rPr>
                <w:rFonts w:ascii="Times New Roman" w:eastAsia="Times New Roman" w:hAnsi="Times New Roman" w:cs="Times New Roman"/>
                <w:b/>
                <w:bCs/>
                <w:sz w:val="20"/>
                <w:szCs w:val="20"/>
              </w:rPr>
              <w:t>Conținut</w:t>
            </w:r>
          </w:p>
        </w:tc>
      </w:tr>
      <w:tr w:rsidR="00AF0426" w14:paraId="665D3CAB"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3641DC7" w14:textId="77777777" w:rsidR="00AF0426" w:rsidRDefault="00FD1403">
            <w:pPr>
              <w:spacing w:after="40"/>
            </w:pPr>
            <w:r>
              <w:rPr>
                <w:rFonts w:ascii="Times New Roman" w:eastAsia="Times New Roman" w:hAnsi="Times New Roman" w:cs="Times New Roman"/>
                <w:sz w:val="20"/>
                <w:szCs w:val="20"/>
              </w:rPr>
              <w:t>2.1. Agentul de stingere</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2D73D74" w14:textId="77777777" w:rsidR="00AF0426" w:rsidRDefault="00FD1403">
            <w:pPr>
              <w:spacing w:after="40"/>
            </w:pPr>
            <w:r>
              <w:rPr>
                <w:rFonts w:ascii="Times New Roman" w:eastAsia="Times New Roman" w:hAnsi="Times New Roman" w:cs="Times New Roman"/>
                <w:sz w:val="20"/>
                <w:szCs w:val="20"/>
              </w:rPr>
              <w:t>În Faza 1 proiectantul prezintă un studiu comparativ între agenții inerți IG-541, IG-55, IG-100 (varianta preferată) și FK-5-1-12 (variantă alternativă), cu criteriile: siguranța personalului, riscul acustic pentru HDD, spațiul și portanța necesare bateriei de butelii, cerințele de etanșare și descărcare a presiunii, disponibilitatea agentului și a pieselor pe 10 ani, reglementarea PFAS și F-gaze, CAPEX și costul total pe 10 ani (reîncărcare, mentenanță, teste). Agenții HFC-227ea (FM-200), Halon și CO₂ sunt excluși. Alegerea finală aparține Beneficiarului, la aprobarea Fazei 1.</w:t>
            </w:r>
          </w:p>
        </w:tc>
      </w:tr>
      <w:tr w:rsidR="00AF0426" w14:paraId="5D64BF6A"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ED486F" w14:textId="77777777" w:rsidR="00AF0426" w:rsidRDefault="00FD1403">
            <w:pPr>
              <w:spacing w:after="40"/>
            </w:pPr>
            <w:r>
              <w:rPr>
                <w:rFonts w:ascii="Times New Roman" w:eastAsia="Times New Roman" w:hAnsi="Times New Roman" w:cs="Times New Roman"/>
                <w:sz w:val="20"/>
                <w:szCs w:val="20"/>
              </w:rPr>
              <w:t>2.2. Calculul masei și al concentrației</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009BC6" w14:textId="77777777" w:rsidR="00AF0426" w:rsidRDefault="00FD1403">
            <w:pPr>
              <w:spacing w:after="40"/>
            </w:pPr>
            <w:r>
              <w:rPr>
                <w:rFonts w:ascii="Times New Roman" w:eastAsia="Times New Roman" w:hAnsi="Times New Roman" w:cs="Times New Roman"/>
                <w:sz w:val="20"/>
                <w:szCs w:val="20"/>
              </w:rPr>
              <w:t>Conform EN 15004 / ISO 14520 / NFPA 2001, cu coeficienții de siguranță normativi. Se prezintă concentrația de proiect, minimă (temperatura maximă) și maximă (temperatura minimă); concentrația maximă și timpul de expunere respectă limitele pentru spații ocupate din EN 15004-1 și NFPA 2001, iar peste NOAEL se aplică pct. 2.3. Suplimentarea masei peste calculul normativ nu se admite.</w:t>
            </w:r>
          </w:p>
        </w:tc>
      </w:tr>
      <w:tr w:rsidR="00AF0426" w14:paraId="5DC901A8"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102018" w14:textId="77777777" w:rsidR="00AF0426" w:rsidRDefault="00FD1403">
            <w:pPr>
              <w:spacing w:after="40"/>
            </w:pPr>
            <w:r>
              <w:rPr>
                <w:rFonts w:ascii="Times New Roman" w:eastAsia="Times New Roman" w:hAnsi="Times New Roman" w:cs="Times New Roman"/>
                <w:sz w:val="20"/>
                <w:szCs w:val="20"/>
              </w:rPr>
              <w:t>2.3. Timpul de evacuare a personalului</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EAC29B5" w14:textId="77777777" w:rsidR="00AF0426" w:rsidRDefault="00FD1403">
            <w:pPr>
              <w:spacing w:after="40"/>
            </w:pPr>
            <w:r>
              <w:rPr>
                <w:rFonts w:ascii="Times New Roman" w:eastAsia="Times New Roman" w:hAnsi="Times New Roman" w:cs="Times New Roman"/>
                <w:sz w:val="20"/>
                <w:szCs w:val="20"/>
              </w:rPr>
              <w:t>Pentru agenții cu concentrație peste NOAEL – studiu de evacuare elaborat de un specialist calificat: căi de evacuare, întârziere pre-descărcare 30–60 s, avertizare, deblocarea controlului accesului; timpul de ieșire este mai mic decât întârzierea pre-descărcare cu cel puțin 5 s.</w:t>
            </w:r>
          </w:p>
        </w:tc>
      </w:tr>
      <w:tr w:rsidR="00AF0426" w14:paraId="26115D5C"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518272" w14:textId="77777777" w:rsidR="00AF0426" w:rsidRDefault="00FD1403">
            <w:pPr>
              <w:spacing w:after="40"/>
            </w:pPr>
            <w:r>
              <w:rPr>
                <w:rFonts w:ascii="Times New Roman" w:eastAsia="Times New Roman" w:hAnsi="Times New Roman" w:cs="Times New Roman"/>
                <w:sz w:val="20"/>
                <w:szCs w:val="20"/>
              </w:rPr>
              <w:lastRenderedPageBreak/>
              <w:t>2.4. Menținerea concentrației</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905FEEB" w14:textId="77777777" w:rsidR="00AF0426" w:rsidRDefault="00FD1403">
            <w:pPr>
              <w:spacing w:after="40"/>
            </w:pPr>
            <w:r>
              <w:rPr>
                <w:rFonts w:ascii="Times New Roman" w:eastAsia="Times New Roman" w:hAnsi="Times New Roman" w:cs="Times New Roman"/>
                <w:sz w:val="20"/>
                <w:szCs w:val="20"/>
              </w:rPr>
              <w:t>Minimum 10 minute la 85% din concentrația de calcul, în zona cea mai defavorabilă; proiectul prevede verificarea prin door fan test conform EN 15004-1, Anexa E, ca și condiție de recepție.</w:t>
            </w:r>
          </w:p>
        </w:tc>
      </w:tr>
      <w:tr w:rsidR="00AF0426" w14:paraId="570ACCB7"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33750B1" w14:textId="77777777" w:rsidR="00AF0426" w:rsidRDefault="00FD1403">
            <w:pPr>
              <w:spacing w:after="40"/>
            </w:pPr>
            <w:r>
              <w:rPr>
                <w:rFonts w:ascii="Times New Roman" w:eastAsia="Times New Roman" w:hAnsi="Times New Roman" w:cs="Times New Roman"/>
                <w:sz w:val="20"/>
                <w:szCs w:val="20"/>
              </w:rPr>
              <w:t>2.5. Detecția</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C1F479A" w14:textId="77777777" w:rsidR="00AF0426" w:rsidRDefault="00FD1403">
            <w:pPr>
              <w:spacing w:after="40"/>
            </w:pPr>
            <w:r>
              <w:rPr>
                <w:rFonts w:ascii="Times New Roman" w:eastAsia="Times New Roman" w:hAnsi="Times New Roman" w:cs="Times New Roman"/>
                <w:sz w:val="20"/>
                <w:szCs w:val="20"/>
              </w:rPr>
              <w:t>Arhitectură pe două canale independente în fiecare zonă (logica „ȘI”): sub pardoseală și deasupra tavanului fals – două sisteme de aspirație EN 54-20 clasa A, cu puncte de prelevare decalate; volumul principal – sistem de aspirație EN 54-20 clasa A și detectoare punctuale adresabile pe două bucle diferite. În regim normal, lansarea automată a secvenței de descărcare necesită confirmarea pe ambele canale ale zonei. Regimul la defectarea unui canal (semnalizare, lansare manuală sau lansare automată pe canalul rămas) se stabilește de proiectant, se confirmă pentru sistemul certificat ales și se include în matricea de lansare a fiecărei zone, împreună cu verificarea timpului de detecție; matricea se aprobă de Beneficiar. Sistemele de aspirație au aprobare VdS sau LPCB; punctele de prelevare se amplasează la aspirația aparatelor de climatizare, pe culoarele calde și reci și în plenumuri. Pragurile Alert/Action transmit semnal dispecerului fără declanșarea stingerii. Proiectul stabilește soarta semnalizării existente (păstrare, integrare sau înlocuire) și transmiterea unidirecțională a semnalelor către sistemul de semnalizare a incendiilor al clădirii; semnalizarea existentă rămâne în funcțiune până la punerea în funcțiune a celei noi. Semnalele se transmit la postul de pază; proiectul include instrucțiunea de reacție a pazei pentru fiecare tip de semnal (Alert, Action, Fire, defect) și schema de escaladare către serviciile tehnice ale Beneficiarului și serviciile de urgență.</w:t>
            </w:r>
          </w:p>
        </w:tc>
      </w:tr>
      <w:tr w:rsidR="00AF0426" w14:paraId="4F2731E5"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45C7D4B" w14:textId="77777777" w:rsidR="00AF0426" w:rsidRDefault="00FD1403">
            <w:pPr>
              <w:spacing w:after="40"/>
            </w:pPr>
            <w:r>
              <w:rPr>
                <w:rFonts w:ascii="Times New Roman" w:eastAsia="Times New Roman" w:hAnsi="Times New Roman" w:cs="Times New Roman"/>
                <w:sz w:val="20"/>
                <w:szCs w:val="20"/>
              </w:rPr>
              <w:t>2.6. Secvența de descărcare</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B3F86E6" w14:textId="77777777" w:rsidR="00AF0426" w:rsidRDefault="00FD1403">
            <w:pPr>
              <w:spacing w:after="40"/>
            </w:pPr>
            <w:r>
              <w:rPr>
                <w:rFonts w:ascii="Times New Roman" w:eastAsia="Times New Roman" w:hAnsi="Times New Roman" w:cs="Times New Roman"/>
                <w:sz w:val="20"/>
                <w:szCs w:val="20"/>
              </w:rPr>
              <w:t>Pot bloca descărcarea numai: abortul activ, regimul de mentenanță și defectele pentru care sistemul certificat ales impune blocarea. Scăderea presiunii în butelii și defectele circuitelor se semnalizează ca defect, fără blocarea automată a descărcării, cu excepția cazurilor impuse de sistemul certificat; proiectantul le descrie în matricea de lansare. Deconectarea HVAC, închiderea clapetelor, deconectarea consumatorilor admiși și deblocarea controlului accesului sunt acțiuni consultative, cu temporizare și semnal de defect, fără a bloca descărcarea: deconectare HVAC – 10 s; închidere clapete – 15 s; deconectare consumatori admiși – 10 s; deblocare control acces pe căile de evacuare – 5 s; închiderea ușilor – consultativă. Orice dependență a descărcării de BMS, controlul accesului, HVAC sau clapete este inadmisibilă.</w:t>
            </w:r>
          </w:p>
        </w:tc>
      </w:tr>
      <w:tr w:rsidR="00AF0426" w14:paraId="32E7B321"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B20046" w14:textId="77777777" w:rsidR="00AF0426" w:rsidRDefault="00FD1403">
            <w:pPr>
              <w:spacing w:after="40"/>
            </w:pPr>
            <w:r>
              <w:rPr>
                <w:rFonts w:ascii="Times New Roman" w:eastAsia="Times New Roman" w:hAnsi="Times New Roman" w:cs="Times New Roman"/>
                <w:sz w:val="20"/>
                <w:szCs w:val="20"/>
              </w:rPr>
              <w:t>2.7. Declanșare manuală și abort</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0C14E5B" w14:textId="77777777" w:rsidR="00AF0426" w:rsidRDefault="00FD1403">
            <w:pPr>
              <w:spacing w:after="40"/>
            </w:pPr>
            <w:r>
              <w:rPr>
                <w:rFonts w:ascii="Times New Roman" w:eastAsia="Times New Roman" w:hAnsi="Times New Roman" w:cs="Times New Roman"/>
                <w:sz w:val="20"/>
                <w:szCs w:val="20"/>
              </w:rPr>
              <w:t>Declanșare manuală în exterior, la fiecare intrare, cu acțiune dublă, independentă de detectoare, BMS, controlul accesului, clapete și rețea. Butoane abort în interior, la fiecare ieșire, exclusiv cu menținere apăsată; butoanele abort cu autoreținere sunt interzise.</w:t>
            </w:r>
          </w:p>
        </w:tc>
      </w:tr>
      <w:tr w:rsidR="00AF0426" w14:paraId="16A53432"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CFCA0F" w14:textId="77777777" w:rsidR="00AF0426" w:rsidRDefault="00FD1403">
            <w:pPr>
              <w:spacing w:after="40"/>
            </w:pPr>
            <w:r>
              <w:rPr>
                <w:rFonts w:ascii="Times New Roman" w:eastAsia="Times New Roman" w:hAnsi="Times New Roman" w:cs="Times New Roman"/>
                <w:sz w:val="20"/>
                <w:szCs w:val="20"/>
              </w:rPr>
              <w:t>2.8. Alimentarea electrică</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878FD2" w14:textId="77777777" w:rsidR="00AF0426" w:rsidRDefault="00FD1403">
            <w:pPr>
              <w:spacing w:after="40"/>
            </w:pPr>
            <w:r>
              <w:rPr>
                <w:rFonts w:ascii="Times New Roman" w:eastAsia="Times New Roman" w:hAnsi="Times New Roman" w:cs="Times New Roman"/>
                <w:sz w:val="20"/>
                <w:szCs w:val="20"/>
              </w:rPr>
              <w:t>Categoria I de fiabilitate conform NCM E.03.05:2026; surse de alimentare de rezervă cu acumulatori conform EN 54-4 și EN 12094-1, dimensionate pentru minimum 24 ore în veghe și 3 ore în regim de incendiu sau duratele din NCM E.03.05:2026, dacă sunt mai mari; monitorizarea continuă a tuturor circuitelor la întrerupere și scurtcircuit.</w:t>
            </w:r>
          </w:p>
        </w:tc>
      </w:tr>
      <w:tr w:rsidR="00AF0426" w14:paraId="023D8F6C"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AD031E3" w14:textId="77777777" w:rsidR="00AF0426" w:rsidRDefault="00FD1403">
            <w:pPr>
              <w:spacing w:after="40"/>
            </w:pPr>
            <w:r>
              <w:rPr>
                <w:rFonts w:ascii="Times New Roman" w:eastAsia="Times New Roman" w:hAnsi="Times New Roman" w:cs="Times New Roman"/>
                <w:sz w:val="20"/>
                <w:szCs w:val="20"/>
              </w:rPr>
              <w:t>2.9. Securitate cibernetică</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016B580" w14:textId="77777777" w:rsidR="00AF0426" w:rsidRDefault="00FD1403">
            <w:pPr>
              <w:spacing w:after="40"/>
            </w:pPr>
            <w:r>
              <w:rPr>
                <w:rFonts w:ascii="Times New Roman" w:eastAsia="Times New Roman" w:hAnsi="Times New Roman" w:cs="Times New Roman"/>
                <w:sz w:val="20"/>
                <w:szCs w:val="20"/>
              </w:rPr>
              <w:t>Centrala de comandă nu se conectează la rețeaua IT corporativă. Transmiterea stărilor se face exclusiv unidirecțional, prin mijloace hardware: varianta de bază – contacte uscate / ieșiri pe releu către BMS; varianta alternativă – diodă de date hardware. Protocoalele pe canale fizic bidirecționale (inclusiv Modbus RTU pe RS-485) se admit numai prin poartă unidirecțională hardware; restricția software „numai citire” nu se acceptă. Interfețele Ethernet/TCP-IP bidirecționale, comanda, resetarea și configurarea de la distanță sunt interzise; mentenanța se face local, cu prezență fizică. La recepție se predau configurația centralelor și parolele unice, schimbate față de valorile implicite.</w:t>
            </w:r>
          </w:p>
        </w:tc>
      </w:tr>
      <w:tr w:rsidR="00AF0426" w14:paraId="3A00D5FE"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EB3E440" w14:textId="77777777" w:rsidR="00AF0426" w:rsidRDefault="00FD1403">
            <w:pPr>
              <w:spacing w:after="40"/>
            </w:pPr>
            <w:r>
              <w:rPr>
                <w:rFonts w:ascii="Times New Roman" w:eastAsia="Times New Roman" w:hAnsi="Times New Roman" w:cs="Times New Roman"/>
                <w:sz w:val="20"/>
                <w:szCs w:val="20"/>
              </w:rPr>
              <w:lastRenderedPageBreak/>
              <w:t>2.10. Bateria de butelii</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6482D5B" w14:textId="77777777" w:rsidR="00AF0426" w:rsidRDefault="00FD1403">
            <w:pPr>
              <w:spacing w:after="40"/>
            </w:pPr>
            <w:r>
              <w:rPr>
                <w:rFonts w:ascii="Times New Roman" w:eastAsia="Times New Roman" w:hAnsi="Times New Roman" w:cs="Times New Roman"/>
                <w:sz w:val="20"/>
                <w:szCs w:val="20"/>
              </w:rPr>
              <w:t>Amplasare, portanța pardoselii (calcul și, după caz, consolidare), ancorare cu calcul de stabilitate la acțiuni seismice și dinamice; încăpere cu rezistență la foc minimum REI 60, temperatura în limitele producătorului agentului ales; cerințele NCM E.03.05:2026 pentru stația de stingere (amplasare și separare, înălțimea încăperii, temperatură, ventilare, legătura cu personalul de serviciu permanent) se verifică și se aplică explicit pentru schema aleasă, inclusiv accesul pentru livrarea și mentenanța buteliilor la etaj; ventilație mecanică, gol de ușă minimum 1,2 m, iluminat minimum 200 lx; ancorarea fiecărei butelii cu coliere din oțel în două puncte (la 1/3 și 2/3 din înălțime) pe cadru sau elemente de construcție; monitorizarea continuă a presiunii fiecărei butelii cu transmitere la dispecer; pierderea de presiune (corectată cu temperatura) sau de masă peste limitele EN 15004 / NFPA 2001 pentru agentul ales constituie temei de reîncărcare.</w:t>
            </w:r>
          </w:p>
        </w:tc>
      </w:tr>
      <w:tr w:rsidR="00AF0426" w14:paraId="3C6CE2E0"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D1E420C" w14:textId="77777777" w:rsidR="00AF0426" w:rsidRDefault="00FD1403">
            <w:pPr>
              <w:spacing w:after="40"/>
            </w:pPr>
            <w:r>
              <w:rPr>
                <w:rFonts w:ascii="Times New Roman" w:eastAsia="Times New Roman" w:hAnsi="Times New Roman" w:cs="Times New Roman"/>
                <w:sz w:val="20"/>
                <w:szCs w:val="20"/>
              </w:rPr>
              <w:t>2.11. Descărcarea suprapresiunii</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D898DC" w14:textId="77777777" w:rsidR="00AF0426" w:rsidRDefault="00FD1403">
            <w:pPr>
              <w:spacing w:after="40"/>
            </w:pPr>
            <w:r>
              <w:rPr>
                <w:rFonts w:ascii="Times New Roman" w:eastAsia="Times New Roman" w:hAnsi="Times New Roman" w:cs="Times New Roman"/>
                <w:sz w:val="20"/>
                <w:szCs w:val="20"/>
              </w:rPr>
              <w:t>Calculul suprapresiunii pentru agenții inerți și al suprapresiunii și depresiunii pentru FK-5-1-12 (FIA Guidance), pe baza rezistenței verificate a celui mai slab element al anvelopei (pereți, tavan fals, uși, închiderea ferestrei); clapetele de descărcare se prevăd acolo unde calculul le impune. Clapetele se închid după descărcare și au rezistență la foc cel puțin egală cu a peretelui.</w:t>
            </w:r>
          </w:p>
        </w:tc>
      </w:tr>
      <w:tr w:rsidR="00AF0426" w14:paraId="33F12B2D"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4872A2" w14:textId="77777777" w:rsidR="00AF0426" w:rsidRDefault="00FD1403">
            <w:pPr>
              <w:spacing w:after="40"/>
            </w:pPr>
            <w:r>
              <w:rPr>
                <w:rFonts w:ascii="Times New Roman" w:eastAsia="Times New Roman" w:hAnsi="Times New Roman" w:cs="Times New Roman"/>
                <w:sz w:val="20"/>
                <w:szCs w:val="20"/>
              </w:rPr>
              <w:t>2.12. Conducte, duze și acustică</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E6280B9" w14:textId="77777777" w:rsidR="00AF0426" w:rsidRDefault="00FD1403">
            <w:pPr>
              <w:spacing w:after="40"/>
            </w:pPr>
            <w:r>
              <w:rPr>
                <w:rFonts w:ascii="Times New Roman" w:eastAsia="Times New Roman" w:hAnsi="Times New Roman" w:cs="Times New Roman"/>
                <w:sz w:val="20"/>
                <w:szCs w:val="20"/>
              </w:rPr>
              <w:t>Calcul hidraulic complet (diametre, duze, pierderi de presiune, timpul de descărcare a 95% din masă). Calcul acustic obligatoriu: LAmax ≤ 110 dB(A) și LAeq ≤ 105 dB(A) în zona rack-urilor cu HDD, la 1,2 m, cu analiză în benzi de 1/3 octavă 100 Hz – 10 kHz; pentru agenții inerți – duze cu nivel redus de zgomot, cu date SPL ale producătorului.</w:t>
            </w:r>
          </w:p>
        </w:tc>
      </w:tr>
      <w:tr w:rsidR="00AF0426" w14:paraId="19A4DC21"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121B63" w14:textId="77777777" w:rsidR="00AF0426" w:rsidRDefault="00FD1403">
            <w:pPr>
              <w:spacing w:after="40"/>
            </w:pPr>
            <w:r>
              <w:rPr>
                <w:rFonts w:ascii="Times New Roman" w:eastAsia="Times New Roman" w:hAnsi="Times New Roman" w:cs="Times New Roman"/>
                <w:sz w:val="20"/>
                <w:szCs w:val="20"/>
              </w:rPr>
              <w:t>2.13. Evacuarea gazelor după stingere</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B18E17" w14:textId="77777777" w:rsidR="00AF0426" w:rsidRDefault="00FD1403">
            <w:pPr>
              <w:spacing w:after="40"/>
            </w:pPr>
            <w:r>
              <w:rPr>
                <w:rFonts w:ascii="Times New Roman" w:eastAsia="Times New Roman" w:hAnsi="Times New Roman" w:cs="Times New Roman"/>
                <w:sz w:val="20"/>
                <w:szCs w:val="20"/>
              </w:rPr>
              <w:t>Debit orientativ 4–6 schimburi de aer pe oră sau mai mare, dacă este necesar pentru atingerea pragurilor de reintrare; pornire manuală; aspirație din zona inferioară și superioară; evacuare în exterior, în locuri fără prezența personalului; tubulatură și clapete minimum EI 60, etanșeitate EN 1751 minimum clasa 3; toate trecerile normal închise și cu închidere la avarie pe durata incendiului și a menținerii.</w:t>
            </w:r>
          </w:p>
        </w:tc>
      </w:tr>
      <w:tr w:rsidR="00AF0426" w14:paraId="632D5627"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49D944F" w14:textId="77777777" w:rsidR="00AF0426" w:rsidRDefault="00FD1403">
            <w:pPr>
              <w:spacing w:after="40"/>
            </w:pPr>
            <w:r>
              <w:rPr>
                <w:rFonts w:ascii="Times New Roman" w:eastAsia="Times New Roman" w:hAnsi="Times New Roman" w:cs="Times New Roman"/>
                <w:sz w:val="20"/>
                <w:szCs w:val="20"/>
              </w:rPr>
              <w:t>2.14. Deconectări la incendiu</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C4F8EFE" w14:textId="77777777" w:rsidR="00AF0426" w:rsidRDefault="00FD1403">
            <w:pPr>
              <w:spacing w:after="40"/>
            </w:pPr>
            <w:r>
              <w:rPr>
                <w:rFonts w:ascii="Times New Roman" w:eastAsia="Times New Roman" w:hAnsi="Times New Roman" w:cs="Times New Roman"/>
                <w:sz w:val="20"/>
                <w:szCs w:val="20"/>
              </w:rPr>
              <w:t>Se deconectează automat: climatizarea și ventilația, ventilatoarele și clapetele HVAC, consumatorii auxiliari non-IT din volumul protejat. Nu se deconectează automat: rack-urile IT, serverele, sistemele de stocare și de rețea, ieșirile UPS ale volumului protejat, centrala de stingere și sursa sa, controlerele BMS, controlul accesului, supravegherea video, iluminatul de siguranță. Se elaborează matricea cauză-efect. Proiectantul calculează creșterea temperaturii în volumul protejat pe durata deconectării climatizării, inclusiv pe durata menținerii concentrației, pentru sarcina termică de calcul comunicată de Beneficiar, stabilește timpul admisibil fără răcire și măsurile la depășirea acestuia (de exemplu, repornirea răcirii în recirculare închisă, fără aport de aer exterior, dacă soluția și agentul o permit).</w:t>
            </w:r>
          </w:p>
        </w:tc>
      </w:tr>
      <w:tr w:rsidR="00AF0426" w14:paraId="0F1EF29F"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D4EF2A1" w14:textId="77777777" w:rsidR="00AF0426" w:rsidRDefault="00FD1403">
            <w:pPr>
              <w:spacing w:after="40"/>
            </w:pPr>
            <w:r>
              <w:rPr>
                <w:rFonts w:ascii="Times New Roman" w:eastAsia="Times New Roman" w:hAnsi="Times New Roman" w:cs="Times New Roman"/>
                <w:sz w:val="20"/>
                <w:szCs w:val="20"/>
              </w:rPr>
              <w:t>2.15. Reintrarea personalului</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BEE9DF" w14:textId="77777777" w:rsidR="00AF0426" w:rsidRDefault="00FD1403">
            <w:pPr>
              <w:spacing w:after="40"/>
            </w:pPr>
            <w:r>
              <w:rPr>
                <w:rFonts w:ascii="Times New Roman" w:eastAsia="Times New Roman" w:hAnsi="Times New Roman" w:cs="Times New Roman"/>
                <w:sz w:val="20"/>
                <w:szCs w:val="20"/>
              </w:rPr>
              <w:t>Puncte de prelevare la fiecare intrare; praguri pentru acces fără echipament de protecție: O₂ ≥ 19,5%, CO ≤ 25 ppm, CO₂ ≤ 5 000 ppm, HF ≤ 3 ppm (FK-5-1-12); monitorizare fixă a O₂ pentru agenții inerți; pentru FK-5-1-12 – testare mobilă a atmosferei înainte de reintrare.</w:t>
            </w:r>
          </w:p>
        </w:tc>
      </w:tr>
      <w:tr w:rsidR="00AF0426" w14:paraId="4108C495"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4E72BD" w14:textId="77777777" w:rsidR="00AF0426" w:rsidRDefault="00FD1403">
            <w:pPr>
              <w:spacing w:after="40"/>
            </w:pPr>
            <w:r>
              <w:rPr>
                <w:rFonts w:ascii="Times New Roman" w:eastAsia="Times New Roman" w:hAnsi="Times New Roman" w:cs="Times New Roman"/>
                <w:sz w:val="20"/>
                <w:szCs w:val="20"/>
              </w:rPr>
              <w:t>2.16. Anvelopa și bugetul de etanșeitate</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994803F" w14:textId="77777777" w:rsidR="00AF0426" w:rsidRDefault="00FD1403">
            <w:pPr>
              <w:spacing w:after="40"/>
            </w:pPr>
            <w:r>
              <w:rPr>
                <w:rFonts w:ascii="Times New Roman" w:eastAsia="Times New Roman" w:hAnsi="Times New Roman" w:cs="Times New Roman"/>
                <w:sz w:val="20"/>
                <w:szCs w:val="20"/>
              </w:rPr>
              <w:t>Proiectantul stabilește, din calculul menținerii concentrației (pct. 2.4), suprafața maximă admisă de neetanșeitate (ELA) a volumului protejat și o repartizează pe elemente: pereți, fereastră închisă, uși, treceri, pardoseală tehnică, tavan fals. Etanșarea pereților de la planșeu la planșeu, inclusiv deasupra tavanului fals și sub pardoseală, cu tratarea feței interioare a zidăriei poroase; toate trecerile cu materiale rezistente la foc minimum EI 60; clapete antifoc HVAC cu închidere în maximum 15 s.</w:t>
            </w:r>
          </w:p>
        </w:tc>
      </w:tr>
      <w:tr w:rsidR="00AF0426" w14:paraId="3A96D09B"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6A5DDA" w14:textId="77777777" w:rsidR="00AF0426" w:rsidRDefault="00FD1403">
            <w:pPr>
              <w:spacing w:after="40"/>
            </w:pPr>
            <w:r>
              <w:rPr>
                <w:rFonts w:ascii="Times New Roman" w:eastAsia="Times New Roman" w:hAnsi="Times New Roman" w:cs="Times New Roman"/>
                <w:sz w:val="20"/>
                <w:szCs w:val="20"/>
              </w:rPr>
              <w:lastRenderedPageBreak/>
              <w:t>2.17. Închiderea golului de fereastră</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39F1FE0" w14:textId="77777777" w:rsidR="00AF0426" w:rsidRDefault="00FD1403">
            <w:pPr>
              <w:spacing w:after="40"/>
            </w:pPr>
            <w:r>
              <w:rPr>
                <w:rFonts w:ascii="Times New Roman" w:eastAsia="Times New Roman" w:hAnsi="Times New Roman" w:cs="Times New Roman"/>
                <w:sz w:val="20"/>
                <w:szCs w:val="20"/>
              </w:rPr>
              <w:t>Închidere cu rezistență la foc cel puțin egală cu a peretelui, rezistență la efracție și etanșeitate conform bugetului de la pct. 2.16. Varianta preferată – din interior, fără modificarea fațadei. Dacă modificarea fațadei este inevitabilă, proiectantul identifică autorizațiile necesare, inclusiv regimul de protecție al clădirii, dacă este cazul. Se verifică portanța planșeului pentru masa închiderii și riscul de condens pe fața interioară a peretelui exterior.</w:t>
            </w:r>
          </w:p>
        </w:tc>
      </w:tr>
      <w:tr w:rsidR="00AF0426" w14:paraId="24EF3B87"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CDAA71" w14:textId="77777777" w:rsidR="00AF0426" w:rsidRDefault="00FD1403">
            <w:pPr>
              <w:spacing w:after="40"/>
            </w:pPr>
            <w:r>
              <w:rPr>
                <w:rFonts w:ascii="Times New Roman" w:eastAsia="Times New Roman" w:hAnsi="Times New Roman" w:cs="Times New Roman"/>
                <w:sz w:val="20"/>
                <w:szCs w:val="20"/>
              </w:rPr>
              <w:t>2.18. Ușile</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B108C9D" w14:textId="77777777" w:rsidR="00AF0426" w:rsidRDefault="00FD1403">
            <w:pPr>
              <w:spacing w:after="40"/>
            </w:pPr>
            <w:r>
              <w:rPr>
                <w:rFonts w:ascii="Times New Roman" w:eastAsia="Times New Roman" w:hAnsi="Times New Roman" w:cs="Times New Roman"/>
                <w:sz w:val="20"/>
                <w:szCs w:val="20"/>
              </w:rPr>
              <w:t>Rezistență la foc cel puțin egală cu a peretelui; etanșeitate la fum Sa/S200 conform EN 13501-2, cu garnituri și praguri automate; rezistență la efracție minimum clasa RC4 conform EN 1627, confirmată pentru configurația reală (ușă, toc, feronerie, montaj în peretele existent, cu verificarea suportului și a prinderii); închiderea golului de fereastră – aceeași clasă; în Faza 1 proiectantul confirmă disponibilitatea unor ansambluri certificate simultan pentru EI, Sa/S200 și RC4 în dimensiunile necesare; rezistență la suprapresiunea descărcării fără deschidere spontană; închidere automată; sens de deschidere și feronerie compatibile cu evacuarea (antipanică pe fața interioară); integrare cu controlul accesului: la alarma de stingere se asigură ieșirea liberă din interior, fără deschiderea accesului din exterior, cu excepția cazului prevăzut de schema de securitate la incendiu aprobată; cel puțin o ușă cu gol liber de minimum 1,2 m pentru echipamente și butelii.</w:t>
            </w:r>
          </w:p>
        </w:tc>
      </w:tr>
      <w:tr w:rsidR="00AF0426" w14:paraId="67AAC853"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8CB7161" w14:textId="77777777" w:rsidR="00AF0426" w:rsidRDefault="00FD1403">
            <w:pPr>
              <w:spacing w:after="40"/>
            </w:pPr>
            <w:r>
              <w:rPr>
                <w:rFonts w:ascii="Times New Roman" w:eastAsia="Times New Roman" w:hAnsi="Times New Roman" w:cs="Times New Roman"/>
                <w:sz w:val="20"/>
                <w:szCs w:val="20"/>
              </w:rPr>
              <w:t>2.19. Protecția împotriva apei</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C946B7" w14:textId="77777777" w:rsidR="00AF0426" w:rsidRDefault="00FD1403">
            <w:pPr>
              <w:spacing w:after="40"/>
            </w:pPr>
            <w:r>
              <w:rPr>
                <w:rFonts w:ascii="Times New Roman" w:eastAsia="Times New Roman" w:hAnsi="Times New Roman" w:cs="Times New Roman"/>
                <w:sz w:val="20"/>
                <w:szCs w:val="20"/>
              </w:rPr>
              <w:t>Identificarea surselor de apă de la etajul 5 și din planșeu: încălzire, alimentare cu apă, canalizare, condens HVAC, eventuale instalații de stingere cu apă. Măsuri proporționale cu riscul: hidroizolarea pardoselii spațiilor de deasupra în zonele cu risc sau tăvi de colectare sub planșeu; eliminarea conductelor de apă care traversează volumul protejat. Detecția scurgerilor: cablu senzor sub pardoseala tehnică și în tavanul fals, alarmă la dispecer, transmitere unidirecțională conform pct. 2.9. Materialele se descriu prin performanțe, fără mărci sau cu mențiunea „sau echivalent”.</w:t>
            </w:r>
          </w:p>
        </w:tc>
      </w:tr>
      <w:tr w:rsidR="00AF0426" w14:paraId="7E1D4B1E"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D3FD15" w14:textId="77777777" w:rsidR="00AF0426" w:rsidRDefault="00FD1403">
            <w:pPr>
              <w:spacing w:after="40"/>
            </w:pPr>
            <w:r>
              <w:rPr>
                <w:rFonts w:ascii="Times New Roman" w:eastAsia="Times New Roman" w:hAnsi="Times New Roman" w:cs="Times New Roman"/>
                <w:sz w:val="20"/>
                <w:szCs w:val="20"/>
              </w:rPr>
              <w:t>2.20. Execuție cu echipamentele IT în funcțiune</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8A0DBCE" w14:textId="77777777" w:rsidR="00AF0426" w:rsidRDefault="00FD1403">
            <w:pPr>
              <w:spacing w:after="40"/>
            </w:pPr>
            <w:r>
              <w:rPr>
                <w:rFonts w:ascii="Times New Roman" w:eastAsia="Times New Roman" w:hAnsi="Times New Roman" w:cs="Times New Roman"/>
                <w:sz w:val="20"/>
                <w:szCs w:val="20"/>
              </w:rPr>
              <w:t>Notă: cerințele 2.20–2.22 se transpun de proiectant în caietele de sarcini pentru lucrări. Toate lucrările se execută cu sala de servere și echipamentele IT în funcțiune, fără întreruperea serviciilor. Echipamentele nu trebuie să fie prăfuite, murdărite, deteriorate sau scoase din funcțiune în niciun mod. Proiectul include organizarea execuției care asigură: zonarea cu bariere temporare ignifuge și antistatice (EN 13501-1 minimum B-s2,d0), fără blocarea circulației aerului de răcire a rack-urilor; aspirarea prafului la sursă cu aspiratoare HEPA H13 și depresiune în zona de lucru; tăierea, șlefuirea și prelucrarea materialelor în afara sălii; metode de găurire fără percuție în apropierea echipamentelor, cu limitarea vibrațiilor; monitorizarea continuă a temperaturii, umidității, punctului de rouă și particulelor (ISO 14644-1 clasa 8), în limitele admise de producătorii echipamentelor; curățenie la sfârșitul fiecărei zile; menținerea alimentării electrice și a răcirii – orice intervenție asupra acestora numai în ferestre aprobate; proceduri pentru evitarea alarmelor false ale semnalizării existente din cauza prafului, inclusiv a transmiterii lor către dispecerat și serviciile de urgență, cu măsuri compensatorii (supraveghere permanentă) pe durata izolării zonelor; inventarul și fotografierea stării echipamentelor înainte și după lucrări; permise pentru lucrări cu foc; RAMS pentru fiecare fază, aprobat de Direcția Securitate; personalul executantului – verificat de serviciul de securitate, cu NDA și echipament antistatic; ferestre tehnologice anunțate cu 30 zile înainte. Caietele de sarcini pentru lucrări preiau aceste cerințe ca obligații contractuale, inclusiv răspunderea executantului pentru daune și asigurarea de răspundere civilă.</w:t>
            </w:r>
          </w:p>
        </w:tc>
      </w:tr>
      <w:tr w:rsidR="00AF0426" w14:paraId="740C334E"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D7C392" w14:textId="77777777" w:rsidR="00AF0426" w:rsidRDefault="00FD1403">
            <w:pPr>
              <w:spacing w:after="40"/>
            </w:pPr>
            <w:r>
              <w:rPr>
                <w:rFonts w:ascii="Times New Roman" w:eastAsia="Times New Roman" w:hAnsi="Times New Roman" w:cs="Times New Roman"/>
                <w:sz w:val="20"/>
                <w:szCs w:val="20"/>
              </w:rPr>
              <w:lastRenderedPageBreak/>
              <w:t>2.21. Perioada de tranziție și coordonarea lucrărilor</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47693AE" w14:textId="77777777" w:rsidR="00AF0426" w:rsidRDefault="00FD1403">
            <w:pPr>
              <w:spacing w:after="40"/>
            </w:pPr>
            <w:r>
              <w:rPr>
                <w:rFonts w:ascii="Times New Roman" w:eastAsia="Times New Roman" w:hAnsi="Times New Roman" w:cs="Times New Roman"/>
                <w:sz w:val="20"/>
                <w:szCs w:val="20"/>
              </w:rPr>
              <w:t>Proiectul stabilește măsurile temporare de protecție la incendiu și de securitate fizică pe durata în care protecția existentă este parțial dezafectată, iar cea nouă nu este pusă în funcțiune, precum și pe durata în care ușile sau golul de fereastră sunt deschise. Calendarul lucrărilor exclude perioadele de instalare, migrare și comutare a echipamentelor IT comunicate de Beneficiar. Lucrările la rețelele de încălzire se planifică ținând cont de sezonul de încălzire.</w:t>
            </w:r>
          </w:p>
        </w:tc>
      </w:tr>
      <w:tr w:rsidR="00AF0426" w14:paraId="7D89FF1D"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31920EA" w14:textId="77777777" w:rsidR="00AF0426" w:rsidRDefault="00FD1403">
            <w:pPr>
              <w:spacing w:after="40"/>
            </w:pPr>
            <w:r>
              <w:rPr>
                <w:rFonts w:ascii="Times New Roman" w:eastAsia="Times New Roman" w:hAnsi="Times New Roman" w:cs="Times New Roman"/>
                <w:sz w:val="20"/>
                <w:szCs w:val="20"/>
              </w:rPr>
              <w:t>2.22. Certificarea componentelor</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1061F0" w14:textId="77777777" w:rsidR="00AF0426" w:rsidRDefault="00FD1403">
            <w:pPr>
              <w:spacing w:after="40"/>
            </w:pPr>
            <w:r>
              <w:rPr>
                <w:rFonts w:ascii="Times New Roman" w:eastAsia="Times New Roman" w:hAnsi="Times New Roman" w:cs="Times New Roman"/>
                <w:sz w:val="20"/>
                <w:szCs w:val="20"/>
              </w:rPr>
              <w:t>Caietele de sarcini pentru lucrări cer, pentru fiecare produs, documentele de conformitate conform regimului aplicabil acestuia (de exemplu, CPR pentru produsele de construcții cu standard armonizat, TPED sau PED pentru butelii), aprobare terță parte acolo unde este indicată mai jos și recunoașterea conformității în Republica Moldova. Aprobare UL, FM, VdS sau LPCB pentru componentele instalației de stingere (EN 12094); VdS sau LPCB pentru sistemele de aspirație (EN 54-20), centrala de semnalizare și sursa de alimentare (EN 54-2/4) și centrala de comandă a stingerii (EN 12094-1); butelii conforme TPED 2010/35/UE sau PED 2014/68/UE, după regimul aplicabil; clapete conform EN 15650 și EN 1366-2; uși conform EN 16034, EN 1634-1 și EN 1627; cabluri conform CPR și EN 50200 / EN IEC 60331; recunoașterea conformității în Republica Moldova.</w:t>
            </w:r>
          </w:p>
        </w:tc>
      </w:tr>
      <w:tr w:rsidR="00E922AB" w14:paraId="1EE444E6" w14:textId="77777777">
        <w:trPr>
          <w:cantSplit/>
        </w:trPr>
        <w:tc>
          <w:tcPr>
            <w:tcW w:w="25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CCC984" w14:textId="5C45DA62" w:rsidR="00E922AB" w:rsidRDefault="00E922AB">
            <w:pPr>
              <w:spacing w:after="4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2.23. </w:t>
            </w:r>
            <w:r w:rsidRPr="00E922AB">
              <w:rPr>
                <w:rFonts w:ascii="Times New Roman" w:eastAsia="Times New Roman" w:hAnsi="Times New Roman" w:cs="Times New Roman"/>
                <w:sz w:val="20"/>
                <w:szCs w:val="20"/>
              </w:rPr>
              <w:t>Configurația sistemului de răcire</w:t>
            </w:r>
          </w:p>
        </w:tc>
        <w:tc>
          <w:tcPr>
            <w:tcW w:w="71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24DE5E5" w14:textId="77777777" w:rsidR="00E922AB" w:rsidRPr="00E922AB" w:rsidRDefault="00E922AB" w:rsidP="00E922AB">
            <w:pPr>
              <w:spacing w:after="0"/>
              <w:rPr>
                <w:rFonts w:ascii="Times New Roman" w:eastAsia="Times New Roman" w:hAnsi="Times New Roman" w:cs="Times New Roman"/>
                <w:sz w:val="20"/>
                <w:szCs w:val="20"/>
                <w:lang w:val="ro-RO"/>
              </w:rPr>
            </w:pPr>
            <w:r w:rsidRPr="00E922AB">
              <w:rPr>
                <w:rFonts w:ascii="Times New Roman" w:eastAsia="Times New Roman" w:hAnsi="Times New Roman" w:cs="Times New Roman"/>
                <w:sz w:val="20"/>
                <w:szCs w:val="20"/>
                <w:lang w:val="ro-RO"/>
              </w:rPr>
              <w:t>Sistemul va include:</w:t>
            </w:r>
          </w:p>
          <w:p w14:paraId="2179427B" w14:textId="70FA6582" w:rsidR="00E922AB" w:rsidRPr="00E922AB" w:rsidRDefault="00E922AB" w:rsidP="00E922AB">
            <w:pPr>
              <w:numPr>
                <w:ilvl w:val="0"/>
                <w:numId w:val="30"/>
              </w:numPr>
              <w:tabs>
                <w:tab w:val="clear" w:pos="720"/>
                <w:tab w:val="num" w:pos="940"/>
              </w:tabs>
              <w:spacing w:after="0"/>
              <w:ind w:left="515" w:hanging="488"/>
              <w:rPr>
                <w:rFonts w:ascii="Times New Roman" w:eastAsia="Times New Roman" w:hAnsi="Times New Roman" w:cs="Times New Roman"/>
                <w:sz w:val="20"/>
                <w:szCs w:val="20"/>
                <w:lang w:val="ro-RO"/>
              </w:rPr>
            </w:pPr>
            <w:r>
              <w:rPr>
                <w:rFonts w:ascii="Times New Roman" w:eastAsia="Times New Roman" w:hAnsi="Times New Roman" w:cs="Times New Roman"/>
                <w:sz w:val="20"/>
                <w:szCs w:val="20"/>
                <w:lang w:val="ro-RO"/>
              </w:rPr>
              <w:t>3</w:t>
            </w:r>
            <w:r w:rsidRPr="00E922AB">
              <w:rPr>
                <w:rFonts w:ascii="Times New Roman" w:eastAsia="Times New Roman" w:hAnsi="Times New Roman" w:cs="Times New Roman"/>
                <w:sz w:val="20"/>
                <w:szCs w:val="20"/>
                <w:lang w:val="ro-RO"/>
              </w:rPr>
              <w:t xml:space="preserve"> (</w:t>
            </w:r>
            <w:r>
              <w:rPr>
                <w:rFonts w:ascii="Times New Roman" w:eastAsia="Times New Roman" w:hAnsi="Times New Roman" w:cs="Times New Roman"/>
                <w:sz w:val="20"/>
                <w:szCs w:val="20"/>
                <w:lang w:val="ro-RO"/>
              </w:rPr>
              <w:t>trei</w:t>
            </w:r>
            <w:r w:rsidRPr="00E922AB">
              <w:rPr>
                <w:rFonts w:ascii="Times New Roman" w:eastAsia="Times New Roman" w:hAnsi="Times New Roman" w:cs="Times New Roman"/>
                <w:sz w:val="20"/>
                <w:szCs w:val="20"/>
                <w:lang w:val="ro-RO"/>
              </w:rPr>
              <w:t>) unități de climatizare de tip CRAC (Computer Room Air Conditioner), instalate perimetral în camera echipamentelor IT;</w:t>
            </w:r>
          </w:p>
          <w:p w14:paraId="43F83CAE" w14:textId="3512E694" w:rsidR="00E922AB" w:rsidRPr="00E922AB" w:rsidRDefault="00E922AB" w:rsidP="00E922AB">
            <w:pPr>
              <w:numPr>
                <w:ilvl w:val="0"/>
                <w:numId w:val="30"/>
              </w:numPr>
              <w:spacing w:after="0"/>
              <w:ind w:left="515" w:hanging="489"/>
              <w:rPr>
                <w:rFonts w:ascii="Times New Roman" w:eastAsia="Times New Roman" w:hAnsi="Times New Roman" w:cs="Times New Roman"/>
                <w:sz w:val="20"/>
                <w:szCs w:val="20"/>
                <w:lang w:val="ro-RO"/>
              </w:rPr>
            </w:pPr>
            <w:r w:rsidRPr="00E922AB">
              <w:rPr>
                <w:rFonts w:ascii="Times New Roman" w:eastAsia="Times New Roman" w:hAnsi="Times New Roman" w:cs="Times New Roman"/>
                <w:sz w:val="20"/>
                <w:szCs w:val="20"/>
                <w:lang w:val="ro-RO"/>
              </w:rPr>
              <w:t xml:space="preserve">Configurație N+1: </w:t>
            </w:r>
            <w:r>
              <w:rPr>
                <w:rFonts w:ascii="Times New Roman" w:eastAsia="Times New Roman" w:hAnsi="Times New Roman" w:cs="Times New Roman"/>
                <w:sz w:val="20"/>
                <w:szCs w:val="20"/>
                <w:lang w:val="ro-RO"/>
              </w:rPr>
              <w:t>două</w:t>
            </w:r>
            <w:r w:rsidRPr="00E922AB">
              <w:rPr>
                <w:rFonts w:ascii="Times New Roman" w:eastAsia="Times New Roman" w:hAnsi="Times New Roman" w:cs="Times New Roman"/>
                <w:sz w:val="20"/>
                <w:szCs w:val="20"/>
                <w:lang w:val="ro-RO"/>
              </w:rPr>
              <w:t xml:space="preserve"> unit</w:t>
            </w:r>
            <w:r>
              <w:rPr>
                <w:rFonts w:ascii="Times New Roman" w:eastAsia="Times New Roman" w:hAnsi="Times New Roman" w:cs="Times New Roman"/>
                <w:sz w:val="20"/>
                <w:szCs w:val="20"/>
                <w:lang w:val="ro-RO"/>
              </w:rPr>
              <w:t>ăți</w:t>
            </w:r>
            <w:r w:rsidRPr="00E922AB">
              <w:rPr>
                <w:rFonts w:ascii="Times New Roman" w:eastAsia="Times New Roman" w:hAnsi="Times New Roman" w:cs="Times New Roman"/>
                <w:sz w:val="20"/>
                <w:szCs w:val="20"/>
                <w:lang w:val="ro-RO"/>
              </w:rPr>
              <w:t xml:space="preserve"> în sarcină + o unitate de rezervă automată, cu posibilitate de rotație periodică a funcționării;</w:t>
            </w:r>
          </w:p>
          <w:p w14:paraId="253CAA71" w14:textId="62FF5351" w:rsidR="00E922AB" w:rsidRPr="00E922AB" w:rsidRDefault="00E922AB" w:rsidP="00E922AB">
            <w:pPr>
              <w:numPr>
                <w:ilvl w:val="0"/>
                <w:numId w:val="30"/>
              </w:numPr>
              <w:spacing w:after="0"/>
              <w:ind w:left="515" w:hanging="489"/>
              <w:rPr>
                <w:rFonts w:ascii="Times New Roman" w:eastAsia="Times New Roman" w:hAnsi="Times New Roman" w:cs="Times New Roman"/>
                <w:sz w:val="20"/>
                <w:szCs w:val="20"/>
                <w:lang w:val="ro-RO"/>
              </w:rPr>
            </w:pPr>
            <w:r w:rsidRPr="00E922AB">
              <w:rPr>
                <w:rFonts w:ascii="Times New Roman" w:eastAsia="Times New Roman" w:hAnsi="Times New Roman" w:cs="Times New Roman"/>
                <w:sz w:val="20"/>
                <w:szCs w:val="20"/>
                <w:lang w:val="ro-RO"/>
              </w:rPr>
              <w:t xml:space="preserve">Capacitate totală instalată ≥ </w:t>
            </w:r>
            <w:r>
              <w:rPr>
                <w:rFonts w:ascii="Times New Roman" w:eastAsia="Times New Roman" w:hAnsi="Times New Roman" w:cs="Times New Roman"/>
                <w:sz w:val="20"/>
                <w:szCs w:val="20"/>
                <w:lang w:val="ro-RO"/>
              </w:rPr>
              <w:t>6</w:t>
            </w:r>
            <w:r w:rsidRPr="00E922AB">
              <w:rPr>
                <w:rFonts w:ascii="Times New Roman" w:eastAsia="Times New Roman" w:hAnsi="Times New Roman" w:cs="Times New Roman"/>
                <w:sz w:val="20"/>
                <w:szCs w:val="20"/>
                <w:lang w:val="ro-RO"/>
              </w:rPr>
              <w:t>0 kW (astfel încât în regim N să fie asigurată întreaga sarcină termică);</w:t>
            </w:r>
          </w:p>
          <w:p w14:paraId="2363729D" w14:textId="77777777" w:rsidR="00E922AB" w:rsidRPr="00E922AB" w:rsidRDefault="00E922AB" w:rsidP="00E922AB">
            <w:pPr>
              <w:numPr>
                <w:ilvl w:val="0"/>
                <w:numId w:val="30"/>
              </w:numPr>
              <w:spacing w:after="0"/>
              <w:ind w:left="515" w:hanging="489"/>
              <w:rPr>
                <w:rFonts w:ascii="Times New Roman" w:eastAsia="Times New Roman" w:hAnsi="Times New Roman" w:cs="Times New Roman"/>
                <w:sz w:val="20"/>
                <w:szCs w:val="20"/>
                <w:lang w:val="ro-RO"/>
              </w:rPr>
            </w:pPr>
            <w:r w:rsidRPr="00E922AB">
              <w:rPr>
                <w:rFonts w:ascii="Times New Roman" w:eastAsia="Times New Roman" w:hAnsi="Times New Roman" w:cs="Times New Roman"/>
                <w:sz w:val="20"/>
                <w:szCs w:val="20"/>
                <w:lang w:val="ro-RO"/>
              </w:rPr>
              <w:t>Funcționare cu agent frigorific ecologic, conform reglementărilor F-Gas aplicabile;</w:t>
            </w:r>
          </w:p>
          <w:p w14:paraId="3930C867" w14:textId="77777777" w:rsidR="00E922AB" w:rsidRPr="00E922AB" w:rsidRDefault="00E922AB" w:rsidP="00E922AB">
            <w:pPr>
              <w:numPr>
                <w:ilvl w:val="0"/>
                <w:numId w:val="30"/>
              </w:numPr>
              <w:spacing w:after="0"/>
              <w:ind w:left="515" w:hanging="489"/>
              <w:rPr>
                <w:rFonts w:ascii="Times New Roman" w:eastAsia="Times New Roman" w:hAnsi="Times New Roman" w:cs="Times New Roman"/>
                <w:sz w:val="20"/>
                <w:szCs w:val="20"/>
                <w:lang w:val="ro-RO"/>
              </w:rPr>
            </w:pPr>
            <w:r w:rsidRPr="00E922AB">
              <w:rPr>
                <w:rFonts w:ascii="Times New Roman" w:eastAsia="Times New Roman" w:hAnsi="Times New Roman" w:cs="Times New Roman"/>
                <w:sz w:val="20"/>
                <w:szCs w:val="20"/>
                <w:lang w:val="ro-RO"/>
              </w:rPr>
              <w:t>Ventilatoare cu turație variabilă (EC), eficiență energetică ridicată;</w:t>
            </w:r>
          </w:p>
          <w:p w14:paraId="1F84E951" w14:textId="77777777" w:rsidR="00E922AB" w:rsidRPr="00E922AB" w:rsidRDefault="00E922AB" w:rsidP="00E922AB">
            <w:pPr>
              <w:numPr>
                <w:ilvl w:val="0"/>
                <w:numId w:val="30"/>
              </w:numPr>
              <w:spacing w:after="0"/>
              <w:ind w:left="515" w:hanging="489"/>
              <w:rPr>
                <w:rFonts w:ascii="Times New Roman" w:eastAsia="Times New Roman" w:hAnsi="Times New Roman" w:cs="Times New Roman"/>
                <w:sz w:val="20"/>
                <w:szCs w:val="20"/>
                <w:lang w:val="ro-RO"/>
              </w:rPr>
            </w:pPr>
            <w:r w:rsidRPr="00E922AB">
              <w:rPr>
                <w:rFonts w:ascii="Times New Roman" w:eastAsia="Times New Roman" w:hAnsi="Times New Roman" w:cs="Times New Roman"/>
                <w:sz w:val="20"/>
                <w:szCs w:val="20"/>
                <w:lang w:val="ro-RO"/>
              </w:rPr>
              <w:t>Control microprocesor dedicat pentru aplicații IT;</w:t>
            </w:r>
          </w:p>
          <w:p w14:paraId="525B9808" w14:textId="0FCFDD21" w:rsidR="00E922AB" w:rsidRPr="00C14AED" w:rsidRDefault="00E922AB" w:rsidP="00C14AED">
            <w:pPr>
              <w:numPr>
                <w:ilvl w:val="0"/>
                <w:numId w:val="30"/>
              </w:numPr>
              <w:spacing w:after="0"/>
              <w:ind w:left="515" w:hanging="489"/>
              <w:rPr>
                <w:rFonts w:ascii="Times New Roman" w:eastAsia="Times New Roman" w:hAnsi="Times New Roman" w:cs="Times New Roman"/>
                <w:sz w:val="20"/>
                <w:szCs w:val="20"/>
                <w:lang w:val="ro-RO"/>
              </w:rPr>
            </w:pPr>
            <w:r w:rsidRPr="00E922AB">
              <w:rPr>
                <w:rFonts w:ascii="Times New Roman" w:eastAsia="Times New Roman" w:hAnsi="Times New Roman" w:cs="Times New Roman"/>
                <w:sz w:val="20"/>
                <w:szCs w:val="20"/>
                <w:lang w:val="ro-RO"/>
              </w:rPr>
              <w:t>Posibilitate de integrare în sistem de monitorizare (SNMP / Modbus / BMS);</w:t>
            </w:r>
          </w:p>
        </w:tc>
      </w:tr>
    </w:tbl>
    <w:p w14:paraId="320CEDF4" w14:textId="77777777" w:rsidR="00AF0426" w:rsidRDefault="00FD1403">
      <w:pPr>
        <w:keepNext/>
        <w:spacing w:before="140" w:after="60"/>
      </w:pPr>
      <w:r>
        <w:rPr>
          <w:rFonts w:ascii="Times New Roman" w:eastAsia="Times New Roman" w:hAnsi="Times New Roman" w:cs="Times New Roman"/>
          <w:b/>
          <w:bCs/>
          <w:sz w:val="24"/>
          <w:szCs w:val="24"/>
        </w:rPr>
        <w:t>2.23. Baza normativă</w:t>
      </w:r>
    </w:p>
    <w:p w14:paraId="35116B34" w14:textId="77777777" w:rsidR="00AF0426" w:rsidRDefault="00FD1403">
      <w:pPr>
        <w:spacing w:after="80"/>
        <w:jc w:val="both"/>
      </w:pPr>
      <w:r>
        <w:rPr>
          <w:rFonts w:ascii="Times New Roman" w:eastAsia="Times New Roman" w:hAnsi="Times New Roman" w:cs="Times New Roman"/>
          <w:sz w:val="24"/>
          <w:szCs w:val="24"/>
        </w:rPr>
        <w:t>NCM E.03.05:2026 Instalații automate de stingere și semnalizare a incendiilor (în vigoare din 04.08.2026, înlocuiește NCM E.03.05-2004); NCM E.03.02:2026; NCM E.03.04:2026; CP E.03.07:2026; CP E.03.02-2018; NCM E.03.03:2018; HG nr. 847/2022 privind Regulile generale de apărare împotriva incendiilor; Codul urbanismului și construcțiilor nr. 434/2023; HG nr. 743/2024 cu privire la asigurarea calității în construcții; Legea nr. 267/1994 privind apărarea împotriva incendiilor; EN 15004-1, EN 15004-2 (FK-5-1-12), EN 15004-8/-9/-10 (IG-100, IG-55, IG-541) și părțile corespunzătoare ale ISO 14520; EN 12094; EN 54-2, EN 54-4, EN 54-20; NFPA 2001; NFPA 75/76. Proiectantul aplică edițiile în vigoare la data elaborării și indică explicit edițiile utilizate.</w:t>
      </w:r>
    </w:p>
    <w:p w14:paraId="784A8141" w14:textId="77777777" w:rsidR="00AF0426" w:rsidRDefault="00FD1403">
      <w:pPr>
        <w:keepNext/>
        <w:spacing w:before="240" w:after="120"/>
      </w:pPr>
      <w:r>
        <w:rPr>
          <w:rFonts w:ascii="Times New Roman" w:eastAsia="Times New Roman" w:hAnsi="Times New Roman" w:cs="Times New Roman"/>
          <w:b/>
          <w:bCs/>
          <w:sz w:val="26"/>
          <w:szCs w:val="26"/>
        </w:rPr>
        <w:t>3. Conținutul documentației (livrabile)</w:t>
      </w:r>
    </w:p>
    <w:p w14:paraId="5D4D92DF" w14:textId="77777777" w:rsidR="00AF0426" w:rsidRDefault="00FD1403">
      <w:pPr>
        <w:keepNext/>
        <w:spacing w:before="140" w:after="60"/>
      </w:pPr>
      <w:r>
        <w:rPr>
          <w:rFonts w:ascii="Times New Roman" w:eastAsia="Times New Roman" w:hAnsi="Times New Roman" w:cs="Times New Roman"/>
          <w:b/>
          <w:bCs/>
          <w:sz w:val="24"/>
          <w:szCs w:val="24"/>
        </w:rPr>
        <w:t>3.1. Faza 1 – Raport de soluții</w:t>
      </w:r>
    </w:p>
    <w:p w14:paraId="04086363" w14:textId="77777777" w:rsidR="00AF0426" w:rsidRDefault="00FD1403">
      <w:pPr>
        <w:spacing w:after="80"/>
        <w:jc w:val="both"/>
      </w:pPr>
      <w:r>
        <w:rPr>
          <w:rFonts w:ascii="Times New Roman" w:eastAsia="Times New Roman" w:hAnsi="Times New Roman" w:cs="Times New Roman"/>
          <w:sz w:val="24"/>
          <w:szCs w:val="24"/>
        </w:rPr>
        <w:t xml:space="preserve">Relevee și examinarea la fața locului, inclusiv căile de neetanșeitate, variantele de închidere a golului de fereastră, sursele de apă de la etajul 5 și inventarul rețelelor care traversează volumul protejat, cu variante de relocare și calendarul acestora față de sezonul de încălzire; studiul comparativ al agenților (pct. 2.1) cu recomandare motivată; schema de principiu a instalației și a detecției; amplasarea bateriei de butelii și evaluarea preliminară a portanței; matricea cauză-efect preliminară; lista modificărilor </w:t>
      </w:r>
      <w:r>
        <w:rPr>
          <w:rFonts w:ascii="Times New Roman" w:eastAsia="Times New Roman" w:hAnsi="Times New Roman" w:cs="Times New Roman"/>
          <w:sz w:val="24"/>
          <w:szCs w:val="24"/>
        </w:rPr>
        <w:lastRenderedPageBreak/>
        <w:t>HVAC și a lucrărilor de etanșare și hidroizolare; estimarea costurilor CAPEX și a costului total pe 10 ani pentru fiecare variantă, în format xlsx cu formule vizibile.</w:t>
      </w:r>
    </w:p>
    <w:p w14:paraId="50D96F6E" w14:textId="77777777" w:rsidR="00AF0426" w:rsidRDefault="00FD1403">
      <w:pPr>
        <w:keepNext/>
        <w:spacing w:before="140" w:after="60"/>
      </w:pPr>
      <w:r>
        <w:rPr>
          <w:rFonts w:ascii="Times New Roman" w:eastAsia="Times New Roman" w:hAnsi="Times New Roman" w:cs="Times New Roman"/>
          <w:b/>
          <w:bCs/>
          <w:sz w:val="24"/>
          <w:szCs w:val="24"/>
        </w:rPr>
        <w:t>3.2. Faza 2 – Proiect de execuție</w:t>
      </w:r>
    </w:p>
    <w:p w14:paraId="4094BE14" w14:textId="77777777" w:rsidR="00AF0426" w:rsidRDefault="00FD1403">
      <w:pPr>
        <w:spacing w:after="80"/>
        <w:jc w:val="both"/>
      </w:pPr>
      <w:r>
        <w:rPr>
          <w:rFonts w:ascii="Times New Roman" w:eastAsia="Times New Roman" w:hAnsi="Times New Roman" w:cs="Times New Roman"/>
          <w:sz w:val="24"/>
          <w:szCs w:val="24"/>
        </w:rPr>
        <w:t>Pe baza variantei aprobate: memoriu tehnic; piese desenate pentru fiecare specialitate (stingere, detecție și semnalizare, alimentare și automatizare, HVAC și evacuarea gazelor, construcții – consolidări, închiderea golului de fereastră, uși, clapete, etanșare, protecție la apă); calculele de la pct. 2.2–2.4, 2.10–2.13 și bugetul de etanșeitate (pct. 2.16); matricea cauză-efect finală; caiete de sarcini pentru lucrări, pe specialități, fără mărci sau cu mențiunea „sau echivalent” (pct. 2.7 din Cererea ofertei); listele de cantități și devizul estimativ; programul de probe și recepție (door fan test preliminar după lucrările de anvelopă și final după montaj, probe funcționale, măsurători acustice, verificarea securității cibernetice); planul de organizare a execuției și măsurile pentru perioada de tranziție (pct. 2.20–2.21).</w:t>
      </w:r>
    </w:p>
    <w:p w14:paraId="254CED6B" w14:textId="77777777" w:rsidR="00AF0426" w:rsidRDefault="00FD1403">
      <w:pPr>
        <w:keepNext/>
        <w:spacing w:before="140" w:after="60"/>
      </w:pPr>
      <w:r>
        <w:rPr>
          <w:rFonts w:ascii="Times New Roman" w:eastAsia="Times New Roman" w:hAnsi="Times New Roman" w:cs="Times New Roman"/>
          <w:b/>
          <w:bCs/>
          <w:sz w:val="24"/>
          <w:szCs w:val="24"/>
        </w:rPr>
        <w:t>3.3. Faza 3 – Supraveghere de autor</w:t>
      </w:r>
    </w:p>
    <w:p w14:paraId="133CE7C8" w14:textId="77777777" w:rsidR="00AF0426" w:rsidRDefault="00FD1403">
      <w:pPr>
        <w:spacing w:after="80"/>
        <w:jc w:val="both"/>
      </w:pPr>
      <w:r>
        <w:rPr>
          <w:rFonts w:ascii="Times New Roman" w:eastAsia="Times New Roman" w:hAnsi="Times New Roman" w:cs="Times New Roman"/>
          <w:sz w:val="24"/>
          <w:szCs w:val="24"/>
        </w:rPr>
        <w:t>Prețul include 6 vizite la obiect în fazele-cheie: lucrări ascunse, montaj, probe și recepție; participarea la ședințele de lucru se face la distanță sau în cadrul acestor vizite; răspunsurile la întrebările executantului se dau în scris, în 3 zile lucrătoare. Obligația durează 12 luni de la începerea efectivă a lucrărilor, cu condiția ca lucrările să înceapă în cel mult 12 luni de la recepția Fazei 2. Vizitele suplimentare se prestează prin acord separat.</w:t>
      </w:r>
    </w:p>
    <w:p w14:paraId="2294A931" w14:textId="77777777" w:rsidR="00AF0426" w:rsidRDefault="00FD1403">
      <w:pPr>
        <w:keepNext/>
        <w:spacing w:before="140" w:after="60"/>
      </w:pPr>
      <w:r>
        <w:rPr>
          <w:rFonts w:ascii="Times New Roman" w:eastAsia="Times New Roman" w:hAnsi="Times New Roman" w:cs="Times New Roman"/>
          <w:b/>
          <w:bCs/>
          <w:sz w:val="24"/>
          <w:szCs w:val="24"/>
        </w:rPr>
        <w:t>3.4. Verificare și avizare</w:t>
      </w:r>
    </w:p>
    <w:p w14:paraId="3C2B85DB" w14:textId="77777777" w:rsidR="00AF0426" w:rsidRDefault="00FD1403">
      <w:pPr>
        <w:spacing w:after="80"/>
        <w:jc w:val="both"/>
      </w:pPr>
      <w:r>
        <w:rPr>
          <w:rFonts w:ascii="Times New Roman" w:eastAsia="Times New Roman" w:hAnsi="Times New Roman" w:cs="Times New Roman"/>
          <w:sz w:val="24"/>
          <w:szCs w:val="24"/>
        </w:rPr>
        <w:t>În Faza 1 proiectantul stabilește, conform Codului urbanismului și construcțiilor nr. 434/2023, dacă lucrările necesită certificat de urbanism și autorizație de construire sau se încadrează în lucrările executabile fără acestea, precum și cerințele de verificare a proiectului și de avizare, inclusiv de către IGSU. Verificarea proiectului de către verificator atestat, dacă este obligatorie, se contractează și se achită separat de Beneficiar, conform HG nr. 743/2024; proiectantul predă documentația, oferă explicații și remediază observațiile fără cost suplimentar.</w:t>
      </w:r>
    </w:p>
    <w:p w14:paraId="6CBB0037" w14:textId="77777777" w:rsidR="00AF0426" w:rsidRDefault="00FD1403">
      <w:pPr>
        <w:keepNext/>
        <w:spacing w:before="140" w:after="60"/>
      </w:pPr>
      <w:r>
        <w:rPr>
          <w:rFonts w:ascii="Times New Roman" w:eastAsia="Times New Roman" w:hAnsi="Times New Roman" w:cs="Times New Roman"/>
          <w:b/>
          <w:bCs/>
          <w:sz w:val="24"/>
          <w:szCs w:val="24"/>
        </w:rPr>
        <w:t>3.5. Forma de predare</w:t>
      </w:r>
    </w:p>
    <w:p w14:paraId="5D044021" w14:textId="77777777" w:rsidR="00AF0426" w:rsidRDefault="00FD1403">
      <w:pPr>
        <w:spacing w:after="80"/>
        <w:jc w:val="both"/>
      </w:pPr>
      <w:r>
        <w:rPr>
          <w:rFonts w:ascii="Times New Roman" w:eastAsia="Times New Roman" w:hAnsi="Times New Roman" w:cs="Times New Roman"/>
          <w:sz w:val="24"/>
          <w:szCs w:val="24"/>
        </w:rPr>
        <w:t>3 exemplare pe hârtie, semnate de proiectanții atestați și cu ștampilele lor profesionale; versiunea electronică PDF; fișierele-sursă editabile (.dwg sau .rvt, .xlsx cu formule neprotejate, .docx).</w:t>
      </w:r>
    </w:p>
    <w:p w14:paraId="071D1F76" w14:textId="77777777" w:rsidR="00AF0426" w:rsidRDefault="00FD1403">
      <w:pPr>
        <w:keepNext/>
        <w:spacing w:before="140" w:after="60"/>
      </w:pPr>
      <w:r>
        <w:rPr>
          <w:rFonts w:ascii="Times New Roman" w:eastAsia="Times New Roman" w:hAnsi="Times New Roman" w:cs="Times New Roman"/>
          <w:b/>
          <w:bCs/>
          <w:sz w:val="24"/>
          <w:szCs w:val="24"/>
        </w:rPr>
        <w:t>3.6. Date inițiale furnizate de Beneficiar</w:t>
      </w:r>
    </w:p>
    <w:p w14:paraId="034CB3CF" w14:textId="77777777" w:rsidR="00AF0426" w:rsidRDefault="00FD1403">
      <w:pPr>
        <w:spacing w:after="80"/>
        <w:jc w:val="both"/>
      </w:pPr>
      <w:r>
        <w:rPr>
          <w:rFonts w:ascii="Times New Roman" w:eastAsia="Times New Roman" w:hAnsi="Times New Roman" w:cs="Times New Roman"/>
          <w:sz w:val="24"/>
          <w:szCs w:val="24"/>
        </w:rPr>
        <w:t>Planurile existente ale încăperilor și ale clădirii disponibile, schemele de alimentare electrică, HVAC, încălzire, alimentare cu apă și canalizare (prin serviciul logistică, care participă la vizita la obiect), lista echipamentelor instalate și datele despre regimul de exploatare, acces la obiect în intervalele convenite. Lipsa unor date nu scutește proiectantul de obligația examinării la fața locului.</w:t>
      </w:r>
    </w:p>
    <w:p w14:paraId="309AB9AF" w14:textId="77777777" w:rsidR="00AF0426" w:rsidRDefault="00AF0426">
      <w:pPr>
        <w:pageBreakBefore/>
      </w:pPr>
    </w:p>
    <w:p w14:paraId="3AD22BDE" w14:textId="77777777" w:rsidR="00AF0426" w:rsidRDefault="00FD1403">
      <w:pPr>
        <w:spacing w:after="80"/>
        <w:jc w:val="right"/>
      </w:pPr>
      <w:r>
        <w:rPr>
          <w:rFonts w:ascii="Times New Roman" w:eastAsia="Times New Roman" w:hAnsi="Times New Roman" w:cs="Times New Roman"/>
          <w:b/>
          <w:bCs/>
          <w:sz w:val="24"/>
          <w:szCs w:val="24"/>
        </w:rPr>
        <w:t>Anexa nr. 2</w:t>
      </w:r>
    </w:p>
    <w:p w14:paraId="2BE9C475" w14:textId="77777777" w:rsidR="00AF0426" w:rsidRDefault="00FD1403">
      <w:pPr>
        <w:spacing w:after="40"/>
        <w:jc w:val="center"/>
      </w:pPr>
      <w:r>
        <w:rPr>
          <w:rFonts w:ascii="Times New Roman" w:eastAsia="Times New Roman" w:hAnsi="Times New Roman" w:cs="Times New Roman"/>
          <w:b/>
          <w:bCs/>
          <w:sz w:val="28"/>
          <w:szCs w:val="28"/>
        </w:rPr>
        <w:t>DECLARAȚIE</w:t>
      </w:r>
    </w:p>
    <w:p w14:paraId="42228A0E" w14:textId="77777777" w:rsidR="00AF0426" w:rsidRDefault="00FD1403">
      <w:pPr>
        <w:jc w:val="center"/>
      </w:pPr>
      <w:r>
        <w:rPr>
          <w:rFonts w:ascii="Times New Roman" w:eastAsia="Times New Roman" w:hAnsi="Times New Roman" w:cs="Times New Roman"/>
          <w:b/>
          <w:bCs/>
          <w:sz w:val="24"/>
          <w:szCs w:val="24"/>
        </w:rPr>
        <w:t>privind Beneficiarul efectiv (final) al companiei</w:t>
      </w:r>
    </w:p>
    <w:p w14:paraId="421714DA" w14:textId="77777777" w:rsidR="00AF0426" w:rsidRDefault="00FD1403">
      <w:pPr>
        <w:spacing w:after="80"/>
        <w:jc w:val="both"/>
      </w:pPr>
      <w:r>
        <w:rPr>
          <w:rFonts w:ascii="Times New Roman" w:eastAsia="Times New Roman" w:hAnsi="Times New Roman" w:cs="Times New Roman"/>
          <w:sz w:val="24"/>
          <w:szCs w:val="24"/>
        </w:rPr>
        <w:t>Prin prezenta Declarație confirm că Beneficiarul efectiv (final) al companiei ______________________ S.R.L. (S.A.) este ______________________.</w:t>
      </w:r>
    </w:p>
    <w:p w14:paraId="0A87B9E7" w14:textId="77777777" w:rsidR="00AF0426" w:rsidRDefault="00FD1403">
      <w:pPr>
        <w:spacing w:after="300"/>
        <w:jc w:val="both"/>
      </w:pPr>
      <w:r>
        <w:rPr>
          <w:rFonts w:ascii="Times New Roman" w:eastAsia="Times New Roman" w:hAnsi="Times New Roman" w:cs="Times New Roman"/>
          <w:sz w:val="24"/>
          <w:szCs w:val="24"/>
        </w:rPr>
        <w:t>În cazul producerii evenimentelor care influențează schimbarea datelor despre Beneficiarul efectiv (final), ne obligăm să notificăm imediat S.A. „Moldtelecom” despre acest fapt, sub sancțiunea respingerii ofertei prezentate și/sau a includerii în Lista de interdicții a S.A. „Moldtelecom” și/sau a revocării contractului adjudecat.</w:t>
      </w:r>
    </w:p>
    <w:p w14:paraId="13F38A11" w14:textId="77777777" w:rsidR="00AF0426" w:rsidRDefault="00FD1403">
      <w:pPr>
        <w:spacing w:after="80"/>
      </w:pPr>
      <w:r>
        <w:rPr>
          <w:rFonts w:ascii="Times New Roman" w:eastAsia="Times New Roman" w:hAnsi="Times New Roman" w:cs="Times New Roman"/>
          <w:sz w:val="24"/>
          <w:szCs w:val="24"/>
        </w:rPr>
        <w:t>Data completării ______________          Cu stimă,</w:t>
      </w:r>
    </w:p>
    <w:p w14:paraId="01047C08" w14:textId="77777777" w:rsidR="00AF0426" w:rsidRDefault="00FD1403">
      <w:pPr>
        <w:spacing w:after="80"/>
      </w:pPr>
      <w:r>
        <w:rPr>
          <w:rFonts w:ascii="Times New Roman" w:eastAsia="Times New Roman" w:hAnsi="Times New Roman" w:cs="Times New Roman"/>
          <w:sz w:val="24"/>
          <w:szCs w:val="24"/>
        </w:rPr>
        <w:t>Ofertant/candidat ______________________ (semnătura autorizată)        L.Ș. (după caz)</w:t>
      </w:r>
    </w:p>
    <w:p w14:paraId="2416E7D2" w14:textId="77777777" w:rsidR="00AF0426" w:rsidRDefault="00AF0426">
      <w:pPr>
        <w:pageBreakBefore/>
      </w:pPr>
    </w:p>
    <w:p w14:paraId="1DC81D83" w14:textId="77777777" w:rsidR="00AF0426" w:rsidRDefault="00FD1403">
      <w:pPr>
        <w:spacing w:after="80"/>
        <w:jc w:val="right"/>
      </w:pPr>
      <w:r>
        <w:rPr>
          <w:rFonts w:ascii="Times New Roman" w:eastAsia="Times New Roman" w:hAnsi="Times New Roman" w:cs="Times New Roman"/>
          <w:b/>
          <w:bCs/>
          <w:sz w:val="24"/>
          <w:szCs w:val="24"/>
        </w:rPr>
        <w:t>Anexa nr. 3</w:t>
      </w:r>
    </w:p>
    <w:p w14:paraId="2120EEBD" w14:textId="77777777" w:rsidR="00AF0426" w:rsidRDefault="00FD1403">
      <w:pPr>
        <w:jc w:val="center"/>
      </w:pPr>
      <w:r>
        <w:rPr>
          <w:rFonts w:ascii="Times New Roman" w:eastAsia="Times New Roman" w:hAnsi="Times New Roman" w:cs="Times New Roman"/>
          <w:b/>
          <w:bCs/>
          <w:sz w:val="28"/>
          <w:szCs w:val="28"/>
        </w:rPr>
        <w:t>DECLARAȚIE PE PROPRIA RĂSPUNDERE</w:t>
      </w:r>
    </w:p>
    <w:p w14:paraId="07739714" w14:textId="77777777" w:rsidR="00AF0426" w:rsidRDefault="00FD1403">
      <w:pPr>
        <w:spacing w:after="80"/>
        <w:jc w:val="both"/>
      </w:pPr>
      <w:r>
        <w:rPr>
          <w:rFonts w:ascii="Times New Roman" w:eastAsia="Times New Roman" w:hAnsi="Times New Roman" w:cs="Times New Roman"/>
          <w:sz w:val="24"/>
          <w:szCs w:val="24"/>
        </w:rPr>
        <w:t>Prin prezenta Declarație confirm că compania ______________________ S.R.L. (S.A.):</w:t>
      </w:r>
    </w:p>
    <w:p w14:paraId="78777DE4" w14:textId="77777777" w:rsidR="00AF0426" w:rsidRDefault="00FD1403">
      <w:pPr>
        <w:spacing w:after="40"/>
        <w:ind w:left="567" w:hanging="283"/>
        <w:jc w:val="both"/>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nu este falimentară, nu este în proces de lichidare sau de insolvabilitate, patrimoniul nu este sechestrat, activitatea de afaceri nu este suspendată;</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0"/>
        <w:gridCol w:w="3489"/>
      </w:tblGrid>
      <w:tr w:rsidR="00AF0426" w14:paraId="59517D3B" w14:textId="77777777">
        <w:tc>
          <w:tcPr>
            <w:tcW w:w="6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B258F0D" w14:textId="77777777" w:rsidR="00AF0426" w:rsidRDefault="00FD1403">
            <w:pPr>
              <w:spacing w:after="40"/>
            </w:pPr>
            <w:r>
              <w:rPr>
                <w:rFonts w:ascii="Times New Roman" w:eastAsia="Times New Roman" w:hAnsi="Times New Roman" w:cs="Times New Roman"/>
                <w:sz w:val="18"/>
                <w:szCs w:val="18"/>
              </w:rPr>
              <w:t>Note:</w:t>
            </w:r>
          </w:p>
        </w:tc>
        <w:tc>
          <w:tcPr>
            <w:tcW w:w="34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AEDA14B" w14:textId="77777777" w:rsidR="00AF0426" w:rsidRDefault="00FD1403">
            <w:pPr>
              <w:spacing w:after="40"/>
              <w:jc w:val="center"/>
            </w:pPr>
            <w:r>
              <w:rPr>
                <w:rFonts w:ascii="Times New Roman" w:eastAsia="Times New Roman" w:hAnsi="Times New Roman" w:cs="Times New Roman"/>
                <w:sz w:val="18"/>
                <w:szCs w:val="18"/>
              </w:rPr>
              <w:t>____________________ semnătura</w:t>
            </w:r>
          </w:p>
        </w:tc>
      </w:tr>
    </w:tbl>
    <w:p w14:paraId="263E291C" w14:textId="77777777" w:rsidR="00AF0426" w:rsidRDefault="00FD1403">
      <w:pPr>
        <w:spacing w:after="0"/>
        <w:jc w:val="both"/>
      </w:pPr>
      <w:r>
        <w:rPr>
          <w:rFonts w:ascii="Times New Roman" w:eastAsia="Times New Roman" w:hAnsi="Times New Roman" w:cs="Times New Roman"/>
          <w:sz w:val="12"/>
          <w:szCs w:val="12"/>
        </w:rPr>
        <w:t xml:space="preserve"> </w:t>
      </w:r>
    </w:p>
    <w:p w14:paraId="39BBE77F" w14:textId="77777777" w:rsidR="00AF0426" w:rsidRDefault="00FD1403">
      <w:pPr>
        <w:spacing w:after="40"/>
        <w:ind w:left="567" w:hanging="283"/>
        <w:jc w:val="both"/>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nu are datorii cu termen de scadență depășit față de instituțiile financiare;</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0"/>
        <w:gridCol w:w="3489"/>
      </w:tblGrid>
      <w:tr w:rsidR="00AF0426" w14:paraId="71C07F0E" w14:textId="77777777">
        <w:tc>
          <w:tcPr>
            <w:tcW w:w="6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8ACC22F" w14:textId="77777777" w:rsidR="00AF0426" w:rsidRDefault="00FD1403">
            <w:pPr>
              <w:spacing w:after="40"/>
            </w:pPr>
            <w:r>
              <w:rPr>
                <w:rFonts w:ascii="Times New Roman" w:eastAsia="Times New Roman" w:hAnsi="Times New Roman" w:cs="Times New Roman"/>
                <w:sz w:val="18"/>
                <w:szCs w:val="18"/>
              </w:rPr>
              <w:t>Note:</w:t>
            </w:r>
          </w:p>
        </w:tc>
        <w:tc>
          <w:tcPr>
            <w:tcW w:w="34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6A2771E" w14:textId="77777777" w:rsidR="00AF0426" w:rsidRDefault="00FD1403">
            <w:pPr>
              <w:spacing w:after="40"/>
              <w:jc w:val="center"/>
            </w:pPr>
            <w:r>
              <w:rPr>
                <w:rFonts w:ascii="Times New Roman" w:eastAsia="Times New Roman" w:hAnsi="Times New Roman" w:cs="Times New Roman"/>
                <w:sz w:val="18"/>
                <w:szCs w:val="18"/>
              </w:rPr>
              <w:t>____________________ semnătura</w:t>
            </w:r>
          </w:p>
        </w:tc>
      </w:tr>
    </w:tbl>
    <w:p w14:paraId="00D72F08" w14:textId="77777777" w:rsidR="00AF0426" w:rsidRDefault="00FD1403">
      <w:pPr>
        <w:spacing w:after="0"/>
        <w:jc w:val="both"/>
      </w:pPr>
      <w:r>
        <w:rPr>
          <w:rFonts w:ascii="Times New Roman" w:eastAsia="Times New Roman" w:hAnsi="Times New Roman" w:cs="Times New Roman"/>
          <w:sz w:val="12"/>
          <w:szCs w:val="12"/>
        </w:rPr>
        <w:t xml:space="preserve"> </w:t>
      </w:r>
    </w:p>
    <w:p w14:paraId="5A33EB98" w14:textId="77777777" w:rsidR="00AF0426" w:rsidRDefault="00FD1403">
      <w:pPr>
        <w:spacing w:after="40"/>
        <w:ind w:left="567" w:hanging="283"/>
        <w:jc w:val="both"/>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persoanele de conducere ale companiei, pe parcursul ultimilor 3 ani, nu au fost implicate în practici frauduloase și de corupere;</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0"/>
        <w:gridCol w:w="3489"/>
      </w:tblGrid>
      <w:tr w:rsidR="00AF0426" w14:paraId="7AA9D16A" w14:textId="77777777">
        <w:tc>
          <w:tcPr>
            <w:tcW w:w="6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4E20E13" w14:textId="77777777" w:rsidR="00AF0426" w:rsidRDefault="00FD1403">
            <w:pPr>
              <w:spacing w:after="40"/>
            </w:pPr>
            <w:r>
              <w:rPr>
                <w:rFonts w:ascii="Times New Roman" w:eastAsia="Times New Roman" w:hAnsi="Times New Roman" w:cs="Times New Roman"/>
                <w:sz w:val="18"/>
                <w:szCs w:val="18"/>
              </w:rPr>
              <w:t>Note:</w:t>
            </w:r>
          </w:p>
        </w:tc>
        <w:tc>
          <w:tcPr>
            <w:tcW w:w="34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F42A467" w14:textId="77777777" w:rsidR="00AF0426" w:rsidRDefault="00FD1403">
            <w:pPr>
              <w:spacing w:after="40"/>
              <w:jc w:val="center"/>
            </w:pPr>
            <w:r>
              <w:rPr>
                <w:rFonts w:ascii="Times New Roman" w:eastAsia="Times New Roman" w:hAnsi="Times New Roman" w:cs="Times New Roman"/>
                <w:sz w:val="18"/>
                <w:szCs w:val="18"/>
              </w:rPr>
              <w:t>____________________ semnătura</w:t>
            </w:r>
          </w:p>
        </w:tc>
      </w:tr>
    </w:tbl>
    <w:p w14:paraId="5FD3D315" w14:textId="77777777" w:rsidR="00AF0426" w:rsidRDefault="00FD1403">
      <w:pPr>
        <w:spacing w:after="0"/>
        <w:jc w:val="both"/>
      </w:pPr>
      <w:r>
        <w:rPr>
          <w:rFonts w:ascii="Times New Roman" w:eastAsia="Times New Roman" w:hAnsi="Times New Roman" w:cs="Times New Roman"/>
          <w:sz w:val="12"/>
          <w:szCs w:val="12"/>
        </w:rPr>
        <w:t xml:space="preserve"> </w:t>
      </w:r>
    </w:p>
    <w:p w14:paraId="5C55A4F8" w14:textId="77777777" w:rsidR="00AF0426" w:rsidRDefault="00FD1403">
      <w:pPr>
        <w:spacing w:after="40"/>
        <w:ind w:left="567" w:hanging="283"/>
        <w:jc w:val="both"/>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nu au fost aplicate sancțiuni administrative sau penale, pe parcursul ultimilor 3 ani, față de companie și persoanele de conducere în legătură cu activitatea lor profesională sau cu prezentarea de date eronate în scopul încheierii contractului de achiziții;</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0"/>
        <w:gridCol w:w="3489"/>
      </w:tblGrid>
      <w:tr w:rsidR="00AF0426" w14:paraId="20D8F7E4" w14:textId="77777777">
        <w:tc>
          <w:tcPr>
            <w:tcW w:w="6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CA69DDA" w14:textId="77777777" w:rsidR="00AF0426" w:rsidRDefault="00FD1403">
            <w:pPr>
              <w:spacing w:after="40"/>
            </w:pPr>
            <w:r>
              <w:rPr>
                <w:rFonts w:ascii="Times New Roman" w:eastAsia="Times New Roman" w:hAnsi="Times New Roman" w:cs="Times New Roman"/>
                <w:sz w:val="18"/>
                <w:szCs w:val="18"/>
              </w:rPr>
              <w:t>Note:</w:t>
            </w:r>
          </w:p>
        </w:tc>
        <w:tc>
          <w:tcPr>
            <w:tcW w:w="34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F029347" w14:textId="77777777" w:rsidR="00AF0426" w:rsidRDefault="00FD1403">
            <w:pPr>
              <w:spacing w:after="40"/>
              <w:jc w:val="center"/>
            </w:pPr>
            <w:r>
              <w:rPr>
                <w:rFonts w:ascii="Times New Roman" w:eastAsia="Times New Roman" w:hAnsi="Times New Roman" w:cs="Times New Roman"/>
                <w:sz w:val="18"/>
                <w:szCs w:val="18"/>
              </w:rPr>
              <w:t>____________________ semnătura</w:t>
            </w:r>
          </w:p>
        </w:tc>
      </w:tr>
    </w:tbl>
    <w:p w14:paraId="3EAAAB49" w14:textId="77777777" w:rsidR="00AF0426" w:rsidRDefault="00FD1403">
      <w:pPr>
        <w:spacing w:after="0"/>
        <w:jc w:val="both"/>
      </w:pPr>
      <w:r>
        <w:rPr>
          <w:rFonts w:ascii="Times New Roman" w:eastAsia="Times New Roman" w:hAnsi="Times New Roman" w:cs="Times New Roman"/>
          <w:sz w:val="12"/>
          <w:szCs w:val="12"/>
        </w:rPr>
        <w:t xml:space="preserve"> </w:t>
      </w:r>
    </w:p>
    <w:p w14:paraId="3479F7F8" w14:textId="77777777" w:rsidR="00AF0426" w:rsidRDefault="00FD1403">
      <w:pPr>
        <w:spacing w:after="40"/>
        <w:ind w:left="567" w:hanging="283"/>
        <w:jc w:val="both"/>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acceptă fără rezerve Tema de proiectare (Anexa nr. 1) și condițiile de egalitate de la pct. 2.7;</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0"/>
        <w:gridCol w:w="3489"/>
      </w:tblGrid>
      <w:tr w:rsidR="00AF0426" w14:paraId="44D3C1F0" w14:textId="77777777">
        <w:tc>
          <w:tcPr>
            <w:tcW w:w="6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62AC6E0" w14:textId="77777777" w:rsidR="00AF0426" w:rsidRDefault="00FD1403">
            <w:pPr>
              <w:spacing w:after="40"/>
            </w:pPr>
            <w:r>
              <w:rPr>
                <w:rFonts w:ascii="Times New Roman" w:eastAsia="Times New Roman" w:hAnsi="Times New Roman" w:cs="Times New Roman"/>
                <w:sz w:val="18"/>
                <w:szCs w:val="18"/>
              </w:rPr>
              <w:t>Note:</w:t>
            </w:r>
          </w:p>
        </w:tc>
        <w:tc>
          <w:tcPr>
            <w:tcW w:w="34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1C5AC9" w14:textId="77777777" w:rsidR="00AF0426" w:rsidRDefault="00FD1403">
            <w:pPr>
              <w:spacing w:after="40"/>
              <w:jc w:val="center"/>
            </w:pPr>
            <w:r>
              <w:rPr>
                <w:rFonts w:ascii="Times New Roman" w:eastAsia="Times New Roman" w:hAnsi="Times New Roman" w:cs="Times New Roman"/>
                <w:sz w:val="18"/>
                <w:szCs w:val="18"/>
              </w:rPr>
              <w:t>____________________ semnătura</w:t>
            </w:r>
          </w:p>
        </w:tc>
      </w:tr>
    </w:tbl>
    <w:p w14:paraId="0AC3E3D7" w14:textId="77777777" w:rsidR="00AF0426" w:rsidRDefault="00FD1403">
      <w:pPr>
        <w:spacing w:after="0"/>
        <w:jc w:val="both"/>
      </w:pPr>
      <w:r>
        <w:rPr>
          <w:rFonts w:ascii="Times New Roman" w:eastAsia="Times New Roman" w:hAnsi="Times New Roman" w:cs="Times New Roman"/>
          <w:sz w:val="12"/>
          <w:szCs w:val="12"/>
        </w:rPr>
        <w:t xml:space="preserve"> </w:t>
      </w:r>
    </w:p>
    <w:p w14:paraId="180865CE" w14:textId="77777777" w:rsidR="00AF0426" w:rsidRDefault="00FD1403">
      <w:pPr>
        <w:spacing w:after="40"/>
        <w:ind w:left="567" w:hanging="283"/>
        <w:jc w:val="both"/>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declară următoarele relații comerciale cu producători sau furnizori de sisteme de stingere: ______________________;</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0"/>
        <w:gridCol w:w="3489"/>
      </w:tblGrid>
      <w:tr w:rsidR="00AF0426" w14:paraId="25FC093B" w14:textId="77777777">
        <w:tc>
          <w:tcPr>
            <w:tcW w:w="6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5365A3E" w14:textId="77777777" w:rsidR="00AF0426" w:rsidRDefault="00FD1403">
            <w:pPr>
              <w:spacing w:after="40"/>
            </w:pPr>
            <w:r>
              <w:rPr>
                <w:rFonts w:ascii="Times New Roman" w:eastAsia="Times New Roman" w:hAnsi="Times New Roman" w:cs="Times New Roman"/>
                <w:sz w:val="18"/>
                <w:szCs w:val="18"/>
              </w:rPr>
              <w:t>Note:</w:t>
            </w:r>
          </w:p>
        </w:tc>
        <w:tc>
          <w:tcPr>
            <w:tcW w:w="34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130BE29" w14:textId="77777777" w:rsidR="00AF0426" w:rsidRDefault="00FD1403">
            <w:pPr>
              <w:spacing w:after="40"/>
              <w:jc w:val="center"/>
            </w:pPr>
            <w:r>
              <w:rPr>
                <w:rFonts w:ascii="Times New Roman" w:eastAsia="Times New Roman" w:hAnsi="Times New Roman" w:cs="Times New Roman"/>
                <w:sz w:val="18"/>
                <w:szCs w:val="18"/>
              </w:rPr>
              <w:t>____________________ semnătura</w:t>
            </w:r>
          </w:p>
        </w:tc>
      </w:tr>
    </w:tbl>
    <w:p w14:paraId="50FAEA35" w14:textId="77777777" w:rsidR="00AF0426" w:rsidRDefault="00FD1403">
      <w:pPr>
        <w:spacing w:after="0"/>
        <w:jc w:val="both"/>
      </w:pPr>
      <w:r>
        <w:rPr>
          <w:rFonts w:ascii="Times New Roman" w:eastAsia="Times New Roman" w:hAnsi="Times New Roman" w:cs="Times New Roman"/>
          <w:sz w:val="12"/>
          <w:szCs w:val="12"/>
        </w:rPr>
        <w:t xml:space="preserve"> </w:t>
      </w:r>
    </w:p>
    <w:p w14:paraId="44F7E1EC" w14:textId="77777777" w:rsidR="00AF0426" w:rsidRDefault="00FD1403">
      <w:pPr>
        <w:spacing w:after="40"/>
        <w:ind w:left="567" w:hanging="283"/>
        <w:jc w:val="both"/>
      </w:pPr>
      <w:r>
        <w:rPr>
          <w:rFonts w:ascii="Times New Roman" w:eastAsia="Times New Roman" w:hAnsi="Times New Roman" w:cs="Times New Roman"/>
          <w:sz w:val="24"/>
          <w:szCs w:val="24"/>
        </w:rPr>
        <w:t>–</w:t>
      </w:r>
      <w:r>
        <w:rPr>
          <w:rFonts w:ascii="Times New Roman" w:eastAsia="Times New Roman" w:hAnsi="Times New Roman" w:cs="Times New Roman"/>
          <w:sz w:val="24"/>
          <w:szCs w:val="24"/>
        </w:rPr>
        <w:tab/>
        <w:t>va păstra confidențialitatea datelor despre obiect și va semna NDA înainte de vizita la obiect.</w:t>
      </w:r>
    </w:p>
    <w:tbl>
      <w:tblPr>
        <w:tblW w:w="9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00"/>
        <w:gridCol w:w="3489"/>
      </w:tblGrid>
      <w:tr w:rsidR="00AF0426" w14:paraId="06E61584" w14:textId="77777777">
        <w:tc>
          <w:tcPr>
            <w:tcW w:w="62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4A2FF6F" w14:textId="77777777" w:rsidR="00AF0426" w:rsidRDefault="00FD1403">
            <w:pPr>
              <w:spacing w:after="40"/>
            </w:pPr>
            <w:r>
              <w:rPr>
                <w:rFonts w:ascii="Times New Roman" w:eastAsia="Times New Roman" w:hAnsi="Times New Roman" w:cs="Times New Roman"/>
                <w:sz w:val="18"/>
                <w:szCs w:val="18"/>
              </w:rPr>
              <w:t>Note:</w:t>
            </w:r>
          </w:p>
        </w:tc>
        <w:tc>
          <w:tcPr>
            <w:tcW w:w="3489"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C2E4A53" w14:textId="77777777" w:rsidR="00AF0426" w:rsidRDefault="00FD1403">
            <w:pPr>
              <w:spacing w:after="40"/>
              <w:jc w:val="center"/>
            </w:pPr>
            <w:r>
              <w:rPr>
                <w:rFonts w:ascii="Times New Roman" w:eastAsia="Times New Roman" w:hAnsi="Times New Roman" w:cs="Times New Roman"/>
                <w:sz w:val="18"/>
                <w:szCs w:val="18"/>
              </w:rPr>
              <w:t>____________________ semnătura</w:t>
            </w:r>
          </w:p>
        </w:tc>
      </w:tr>
    </w:tbl>
    <w:p w14:paraId="43D427BE" w14:textId="77777777" w:rsidR="00AF0426" w:rsidRDefault="00FD1403">
      <w:pPr>
        <w:spacing w:after="0"/>
        <w:jc w:val="both"/>
      </w:pPr>
      <w:r>
        <w:rPr>
          <w:rFonts w:ascii="Times New Roman" w:eastAsia="Times New Roman" w:hAnsi="Times New Roman" w:cs="Times New Roman"/>
          <w:sz w:val="12"/>
          <w:szCs w:val="12"/>
        </w:rPr>
        <w:t xml:space="preserve"> </w:t>
      </w:r>
    </w:p>
    <w:p w14:paraId="3D05861B" w14:textId="77777777" w:rsidR="00AF0426" w:rsidRDefault="00FD1403">
      <w:pPr>
        <w:spacing w:after="80"/>
        <w:jc w:val="both"/>
      </w:pPr>
      <w:r>
        <w:rPr>
          <w:rFonts w:ascii="Times New Roman" w:eastAsia="Times New Roman" w:hAnsi="Times New Roman" w:cs="Times New Roman"/>
          <w:sz w:val="24"/>
          <w:szCs w:val="24"/>
        </w:rPr>
        <w:t>Lista subcontractanților care vor presta servicii (după caz) și partea din servicii care le revine: ______________________.</w:t>
      </w:r>
    </w:p>
    <w:p w14:paraId="17F68ABC" w14:textId="77777777" w:rsidR="00AF0426" w:rsidRDefault="00FD1403">
      <w:pPr>
        <w:spacing w:after="80"/>
        <w:jc w:val="both"/>
      </w:pPr>
      <w:r>
        <w:rPr>
          <w:rFonts w:ascii="Times New Roman" w:eastAsia="Times New Roman" w:hAnsi="Times New Roman" w:cs="Times New Roman"/>
          <w:sz w:val="24"/>
          <w:szCs w:val="24"/>
        </w:rPr>
        <w:t>Beneficiarul efectiv (final) al companiei este ______________________.</w:t>
      </w:r>
    </w:p>
    <w:p w14:paraId="6835085D" w14:textId="77777777" w:rsidR="00AF0426" w:rsidRDefault="00FD1403">
      <w:pPr>
        <w:spacing w:after="80"/>
        <w:jc w:val="both"/>
      </w:pPr>
      <w:r>
        <w:rPr>
          <w:rFonts w:ascii="Times New Roman" w:eastAsia="Times New Roman" w:hAnsi="Times New Roman" w:cs="Times New Roman"/>
          <w:sz w:val="24"/>
          <w:szCs w:val="24"/>
        </w:rPr>
        <w:t xml:space="preserve"> </w:t>
      </w:r>
    </w:p>
    <w:p w14:paraId="558ECF38" w14:textId="77777777" w:rsidR="00AF0426" w:rsidRDefault="00FD1403">
      <w:pPr>
        <w:spacing w:after="80"/>
      </w:pPr>
      <w:r>
        <w:rPr>
          <w:rFonts w:ascii="Times New Roman" w:eastAsia="Times New Roman" w:hAnsi="Times New Roman" w:cs="Times New Roman"/>
          <w:sz w:val="24"/>
          <w:szCs w:val="24"/>
        </w:rPr>
        <w:t>Administrator ______________________     Data ______________     L.Ș. (după caz)</w:t>
      </w:r>
    </w:p>
    <w:sectPr w:rsidR="00AF0426" w:rsidSect="002303B3">
      <w:footerReference w:type="default" r:id="rId8"/>
      <w:headerReference w:type="first" r:id="rId9"/>
      <w:footerReference w:type="first" r:id="rId10"/>
      <w:pgSz w:w="12240" w:h="15840"/>
      <w:pgMar w:top="284" w:right="850" w:bottom="142" w:left="1701" w:header="284" w:footer="4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BF9200" w14:textId="77777777" w:rsidR="00221780" w:rsidRDefault="00221780" w:rsidP="00CA1FA4">
      <w:pPr>
        <w:spacing w:after="0" w:line="240" w:lineRule="auto"/>
      </w:pPr>
      <w:r>
        <w:separator/>
      </w:r>
    </w:p>
  </w:endnote>
  <w:endnote w:type="continuationSeparator" w:id="0">
    <w:p w14:paraId="4EF97880" w14:textId="77777777" w:rsidR="00221780" w:rsidRDefault="00221780" w:rsidP="00CA1F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00000003" w:usb1="28CFFCFA" w:usb2="00000016" w:usb3="00000000" w:csb0="001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15121B" w14:textId="77777777" w:rsidR="00CA1FA4" w:rsidRPr="004A76AE" w:rsidRDefault="00CA1FA4" w:rsidP="004A76AE">
    <w:pPr>
      <w:pStyle w:val="Footer"/>
      <w:jc w:val="center"/>
      <w:rPr>
        <w:rFonts w:ascii="Verdana" w:hAnsi="Verdana"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A41917" w14:textId="77777777" w:rsidR="00DF348D" w:rsidRDefault="00DF348D" w:rsidP="00DF348D">
    <w:pPr>
      <w:pStyle w:val="Footer"/>
      <w:tabs>
        <w:tab w:val="clear" w:pos="4844"/>
        <w:tab w:val="clear" w:pos="9689"/>
        <w:tab w:val="left" w:pos="3912"/>
      </w:tabs>
    </w:pPr>
    <w:r>
      <w:rPr>
        <w:noProof/>
        <w:lang w:val="ru-RU" w:eastAsia="ru-RU"/>
      </w:rPr>
      <w:drawing>
        <wp:anchor distT="0" distB="0" distL="114300" distR="114300" simplePos="0" relativeHeight="251659264" behindDoc="1" locked="0" layoutInCell="1" allowOverlap="1" wp14:anchorId="30228381" wp14:editId="371BAA6E">
          <wp:simplePos x="0" y="0"/>
          <wp:positionH relativeFrom="column">
            <wp:posOffset>-330835</wp:posOffset>
          </wp:positionH>
          <wp:positionV relativeFrom="paragraph">
            <wp:posOffset>34290</wp:posOffset>
          </wp:positionV>
          <wp:extent cx="6521450" cy="450850"/>
          <wp:effectExtent l="0" t="0" r="0" b="6350"/>
          <wp:wrapTight wrapText="bothSides">
            <wp:wrapPolygon edited="0">
              <wp:start x="0" y="0"/>
              <wp:lineTo x="0" y="20992"/>
              <wp:lineTo x="21516" y="20992"/>
              <wp:lineTo x="2151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
                    <a:extLst>
                      <a:ext uri="{28A0092B-C50C-407E-A947-70E740481C1C}">
                        <a14:useLocalDpi xmlns:a14="http://schemas.microsoft.com/office/drawing/2010/main" val="0"/>
                      </a:ext>
                    </a:extLst>
                  </a:blip>
                  <a:srcRect l="6032" t="11745" r="6999" b="9552"/>
                  <a:stretch>
                    <a:fillRect/>
                  </a:stretch>
                </pic:blipFill>
                <pic:spPr bwMode="auto">
                  <a:xfrm>
                    <a:off x="0" y="0"/>
                    <a:ext cx="6521450" cy="450850"/>
                  </a:xfrm>
                  <a:prstGeom prst="rect">
                    <a:avLst/>
                  </a:prstGeom>
                  <a:noFill/>
                  <a:ln>
                    <a:noFill/>
                  </a:ln>
                </pic:spPr>
              </pic:pic>
            </a:graphicData>
          </a:graphic>
          <wp14:sizeRelH relativeFrom="page">
            <wp14:pctWidth>0</wp14:pctWidth>
          </wp14:sizeRelH>
          <wp14:sizeRelV relativeFrom="page">
            <wp14:pctHeight>0</wp14:pctHeight>
          </wp14:sizeRelV>
        </wp:anchor>
      </w:drawing>
    </w:r>
    <w:r>
      <w:tab/>
    </w:r>
  </w:p>
  <w:p w14:paraId="5C634432" w14:textId="77777777" w:rsidR="00DF348D" w:rsidRDefault="00DF34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FB75868" w14:textId="77777777" w:rsidR="00221780" w:rsidRDefault="00221780" w:rsidP="00CA1FA4">
      <w:pPr>
        <w:spacing w:after="0" w:line="240" w:lineRule="auto"/>
      </w:pPr>
      <w:r>
        <w:separator/>
      </w:r>
    </w:p>
  </w:footnote>
  <w:footnote w:type="continuationSeparator" w:id="0">
    <w:p w14:paraId="4771D559" w14:textId="77777777" w:rsidR="00221780" w:rsidRDefault="00221780" w:rsidP="00CA1F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9C6D9" w14:textId="77777777" w:rsidR="003D3686" w:rsidRDefault="003D3686">
    <w:pPr>
      <w:pStyle w:val="Header"/>
    </w:pPr>
    <w:r>
      <w:rPr>
        <w:noProof/>
        <w:lang w:val="ru-RU" w:eastAsia="ru-RU"/>
      </w:rPr>
      <w:drawing>
        <wp:anchor distT="0" distB="0" distL="114300" distR="114300" simplePos="0" relativeHeight="251661312" behindDoc="1" locked="0" layoutInCell="1" allowOverlap="1" wp14:anchorId="3FE5F31B" wp14:editId="73AC32B7">
          <wp:simplePos x="0" y="0"/>
          <wp:positionH relativeFrom="column">
            <wp:posOffset>0</wp:posOffset>
          </wp:positionH>
          <wp:positionV relativeFrom="paragraph">
            <wp:posOffset>-66446</wp:posOffset>
          </wp:positionV>
          <wp:extent cx="5284470" cy="817245"/>
          <wp:effectExtent l="0" t="0" r="0" b="1905"/>
          <wp:wrapTight wrapText="bothSides">
            <wp:wrapPolygon edited="0">
              <wp:start x="0" y="0"/>
              <wp:lineTo x="0" y="21147"/>
              <wp:lineTo x="21491" y="21147"/>
              <wp:lineTo x="21491" y="0"/>
              <wp:lineTo x="0" y="0"/>
            </wp:wrapPolygon>
          </wp:wrapTight>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din_ordin.jpg"/>
                  <pic:cNvPicPr/>
                </pic:nvPicPr>
                <pic:blipFill rotWithShape="1">
                  <a:blip r:embed="rId1" cstate="print">
                    <a:extLst>
                      <a:ext uri="{28A0092B-C50C-407E-A947-70E740481C1C}">
                        <a14:useLocalDpi xmlns:a14="http://schemas.microsoft.com/office/drawing/2010/main" val="0"/>
                      </a:ext>
                    </a:extLst>
                  </a:blip>
                  <a:srcRect r="3911" b="52685"/>
                  <a:stretch/>
                </pic:blipFill>
                <pic:spPr bwMode="auto">
                  <a:xfrm>
                    <a:off x="0" y="0"/>
                    <a:ext cx="5284470" cy="8172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1402F"/>
    <w:multiLevelType w:val="hybridMultilevel"/>
    <w:tmpl w:val="254C1BF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B85EA7"/>
    <w:multiLevelType w:val="hybridMultilevel"/>
    <w:tmpl w:val="0C7652B8"/>
    <w:lvl w:ilvl="0" w:tplc="C3AC2956">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454AC3"/>
    <w:multiLevelType w:val="hybridMultilevel"/>
    <w:tmpl w:val="57A84316"/>
    <w:lvl w:ilvl="0" w:tplc="71E62442">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3" w15:restartNumberingAfterBreak="0">
    <w:nsid w:val="07C95D45"/>
    <w:multiLevelType w:val="hybridMultilevel"/>
    <w:tmpl w:val="B472EC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0397C77"/>
    <w:multiLevelType w:val="hybridMultilevel"/>
    <w:tmpl w:val="78B09D04"/>
    <w:lvl w:ilvl="0" w:tplc="0409000B">
      <w:start w:val="1"/>
      <w:numFmt w:val="bullet"/>
      <w:lvlText w:val=""/>
      <w:lvlJc w:val="left"/>
      <w:pPr>
        <w:ind w:left="1463" w:hanging="360"/>
      </w:pPr>
      <w:rPr>
        <w:rFonts w:ascii="Wingdings" w:hAnsi="Wingdings" w:hint="default"/>
      </w:rPr>
    </w:lvl>
    <w:lvl w:ilvl="1" w:tplc="04090003" w:tentative="1">
      <w:start w:val="1"/>
      <w:numFmt w:val="bullet"/>
      <w:lvlText w:val="o"/>
      <w:lvlJc w:val="left"/>
      <w:pPr>
        <w:ind w:left="2183" w:hanging="360"/>
      </w:pPr>
      <w:rPr>
        <w:rFonts w:ascii="Courier New" w:hAnsi="Courier New" w:cs="Courier New" w:hint="default"/>
      </w:rPr>
    </w:lvl>
    <w:lvl w:ilvl="2" w:tplc="04090005" w:tentative="1">
      <w:start w:val="1"/>
      <w:numFmt w:val="bullet"/>
      <w:lvlText w:val=""/>
      <w:lvlJc w:val="left"/>
      <w:pPr>
        <w:ind w:left="2903" w:hanging="360"/>
      </w:pPr>
      <w:rPr>
        <w:rFonts w:ascii="Wingdings" w:hAnsi="Wingdings" w:hint="default"/>
      </w:rPr>
    </w:lvl>
    <w:lvl w:ilvl="3" w:tplc="04090001" w:tentative="1">
      <w:start w:val="1"/>
      <w:numFmt w:val="bullet"/>
      <w:lvlText w:val=""/>
      <w:lvlJc w:val="left"/>
      <w:pPr>
        <w:ind w:left="3623" w:hanging="360"/>
      </w:pPr>
      <w:rPr>
        <w:rFonts w:ascii="Symbol" w:hAnsi="Symbol" w:hint="default"/>
      </w:rPr>
    </w:lvl>
    <w:lvl w:ilvl="4" w:tplc="04090003" w:tentative="1">
      <w:start w:val="1"/>
      <w:numFmt w:val="bullet"/>
      <w:lvlText w:val="o"/>
      <w:lvlJc w:val="left"/>
      <w:pPr>
        <w:ind w:left="4343" w:hanging="360"/>
      </w:pPr>
      <w:rPr>
        <w:rFonts w:ascii="Courier New" w:hAnsi="Courier New" w:cs="Courier New" w:hint="default"/>
      </w:rPr>
    </w:lvl>
    <w:lvl w:ilvl="5" w:tplc="04090005" w:tentative="1">
      <w:start w:val="1"/>
      <w:numFmt w:val="bullet"/>
      <w:lvlText w:val=""/>
      <w:lvlJc w:val="left"/>
      <w:pPr>
        <w:ind w:left="5063" w:hanging="360"/>
      </w:pPr>
      <w:rPr>
        <w:rFonts w:ascii="Wingdings" w:hAnsi="Wingdings" w:hint="default"/>
      </w:rPr>
    </w:lvl>
    <w:lvl w:ilvl="6" w:tplc="04090001" w:tentative="1">
      <w:start w:val="1"/>
      <w:numFmt w:val="bullet"/>
      <w:lvlText w:val=""/>
      <w:lvlJc w:val="left"/>
      <w:pPr>
        <w:ind w:left="5783" w:hanging="360"/>
      </w:pPr>
      <w:rPr>
        <w:rFonts w:ascii="Symbol" w:hAnsi="Symbol" w:hint="default"/>
      </w:rPr>
    </w:lvl>
    <w:lvl w:ilvl="7" w:tplc="04090003" w:tentative="1">
      <w:start w:val="1"/>
      <w:numFmt w:val="bullet"/>
      <w:lvlText w:val="o"/>
      <w:lvlJc w:val="left"/>
      <w:pPr>
        <w:ind w:left="6503" w:hanging="360"/>
      </w:pPr>
      <w:rPr>
        <w:rFonts w:ascii="Courier New" w:hAnsi="Courier New" w:cs="Courier New" w:hint="default"/>
      </w:rPr>
    </w:lvl>
    <w:lvl w:ilvl="8" w:tplc="04090005" w:tentative="1">
      <w:start w:val="1"/>
      <w:numFmt w:val="bullet"/>
      <w:lvlText w:val=""/>
      <w:lvlJc w:val="left"/>
      <w:pPr>
        <w:ind w:left="7223" w:hanging="360"/>
      </w:pPr>
      <w:rPr>
        <w:rFonts w:ascii="Wingdings" w:hAnsi="Wingdings" w:hint="default"/>
      </w:rPr>
    </w:lvl>
  </w:abstractNum>
  <w:abstractNum w:abstractNumId="5" w15:restartNumberingAfterBreak="0">
    <w:nsid w:val="10511FF0"/>
    <w:multiLevelType w:val="hybridMultilevel"/>
    <w:tmpl w:val="E068B7EC"/>
    <w:lvl w:ilvl="0" w:tplc="8EB643B6">
      <w:start w:val="1"/>
      <w:numFmt w:val="bullet"/>
      <w:lvlText w:val="–"/>
      <w:lvlJc w:val="left"/>
      <w:pPr>
        <w:ind w:left="900" w:hanging="260"/>
      </w:pPr>
    </w:lvl>
    <w:lvl w:ilvl="1" w:tplc="18E2182E">
      <w:numFmt w:val="decimal"/>
      <w:lvlText w:val=""/>
      <w:lvlJc w:val="left"/>
    </w:lvl>
    <w:lvl w:ilvl="2" w:tplc="F59869CA">
      <w:numFmt w:val="decimal"/>
      <w:lvlText w:val=""/>
      <w:lvlJc w:val="left"/>
    </w:lvl>
    <w:lvl w:ilvl="3" w:tplc="F21CCDD4">
      <w:numFmt w:val="decimal"/>
      <w:lvlText w:val=""/>
      <w:lvlJc w:val="left"/>
    </w:lvl>
    <w:lvl w:ilvl="4" w:tplc="CB2266D4">
      <w:numFmt w:val="decimal"/>
      <w:lvlText w:val=""/>
      <w:lvlJc w:val="left"/>
    </w:lvl>
    <w:lvl w:ilvl="5" w:tplc="2CE6F9EE">
      <w:numFmt w:val="decimal"/>
      <w:lvlText w:val=""/>
      <w:lvlJc w:val="left"/>
    </w:lvl>
    <w:lvl w:ilvl="6" w:tplc="C884E36C">
      <w:numFmt w:val="decimal"/>
      <w:lvlText w:val=""/>
      <w:lvlJc w:val="left"/>
    </w:lvl>
    <w:lvl w:ilvl="7" w:tplc="4A9EE728">
      <w:numFmt w:val="decimal"/>
      <w:lvlText w:val=""/>
      <w:lvlJc w:val="left"/>
    </w:lvl>
    <w:lvl w:ilvl="8" w:tplc="85C44478">
      <w:numFmt w:val="decimal"/>
      <w:lvlText w:val=""/>
      <w:lvlJc w:val="left"/>
    </w:lvl>
  </w:abstractNum>
  <w:abstractNum w:abstractNumId="6" w15:restartNumberingAfterBreak="0">
    <w:nsid w:val="14053CB3"/>
    <w:multiLevelType w:val="hybridMultilevel"/>
    <w:tmpl w:val="9F945D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AA7997"/>
    <w:multiLevelType w:val="multilevel"/>
    <w:tmpl w:val="57F6E3A8"/>
    <w:lvl w:ilvl="0">
      <w:start w:val="1"/>
      <w:numFmt w:val="bullet"/>
      <w:pStyle w:val="Times"/>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89E5CF6"/>
    <w:multiLevelType w:val="hybridMultilevel"/>
    <w:tmpl w:val="C2B05C2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15:restartNumberingAfterBreak="0">
    <w:nsid w:val="2DE27977"/>
    <w:multiLevelType w:val="multilevel"/>
    <w:tmpl w:val="1480F7D2"/>
    <w:lvl w:ilvl="0">
      <w:start w:val="2"/>
      <w:numFmt w:val="decimal"/>
      <w:lvlText w:val="%1."/>
      <w:lvlJc w:val="left"/>
      <w:pPr>
        <w:ind w:left="540" w:hanging="540"/>
      </w:pPr>
      <w:rPr>
        <w:rFonts w:hint="default"/>
        <w:b/>
      </w:rPr>
    </w:lvl>
    <w:lvl w:ilvl="1">
      <w:start w:val="2"/>
      <w:numFmt w:val="decimal"/>
      <w:lvlText w:val="%1.%2."/>
      <w:lvlJc w:val="left"/>
      <w:pPr>
        <w:ind w:left="540" w:hanging="54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3AFE681D"/>
    <w:multiLevelType w:val="hybridMultilevel"/>
    <w:tmpl w:val="C5607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A7402A"/>
    <w:multiLevelType w:val="hybridMultilevel"/>
    <w:tmpl w:val="5588B158"/>
    <w:lvl w:ilvl="0" w:tplc="0419000F">
      <w:start w:val="1"/>
      <w:numFmt w:val="decimal"/>
      <w:lvlText w:val="%1."/>
      <w:lvlJc w:val="left"/>
      <w:pPr>
        <w:ind w:left="785"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697007"/>
    <w:multiLevelType w:val="multilevel"/>
    <w:tmpl w:val="1EC83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F7F212A"/>
    <w:multiLevelType w:val="hybridMultilevel"/>
    <w:tmpl w:val="03A42510"/>
    <w:lvl w:ilvl="0" w:tplc="ED9886BC">
      <w:start w:val="3"/>
      <w:numFmt w:val="bullet"/>
      <w:lvlText w:val="-"/>
      <w:lvlJc w:val="left"/>
      <w:pPr>
        <w:ind w:left="642"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4CB62679"/>
    <w:multiLevelType w:val="hybridMultilevel"/>
    <w:tmpl w:val="3782D746"/>
    <w:lvl w:ilvl="0" w:tplc="04090005">
      <w:start w:val="1"/>
      <w:numFmt w:val="bullet"/>
      <w:lvlText w:val=""/>
      <w:lvlJc w:val="left"/>
      <w:pPr>
        <w:ind w:left="1180" w:hanging="360"/>
      </w:pPr>
      <w:rPr>
        <w:rFonts w:ascii="Wingdings" w:hAnsi="Wingdings" w:hint="default"/>
        <w:b/>
        <w:bCs/>
        <w:i w:val="0"/>
        <w:iCs w:val="0"/>
        <w:color w:val="0D0D0D"/>
        <w:sz w:val="24"/>
      </w:rPr>
    </w:lvl>
    <w:lvl w:ilvl="1" w:tplc="04090003" w:tentative="1">
      <w:start w:val="1"/>
      <w:numFmt w:val="bullet"/>
      <w:lvlText w:val="o"/>
      <w:lvlJc w:val="left"/>
      <w:pPr>
        <w:ind w:left="1900" w:hanging="360"/>
      </w:pPr>
      <w:rPr>
        <w:rFonts w:ascii="Courier New" w:hAnsi="Courier New" w:cs="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cs="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cs="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15" w15:restartNumberingAfterBreak="0">
    <w:nsid w:val="5C2A1027"/>
    <w:multiLevelType w:val="hybridMultilevel"/>
    <w:tmpl w:val="D2AA851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7D7264"/>
    <w:multiLevelType w:val="hybridMultilevel"/>
    <w:tmpl w:val="78D05DF8"/>
    <w:lvl w:ilvl="0" w:tplc="061016DC">
      <w:start w:val="6"/>
      <w:numFmt w:val="bullet"/>
      <w:lvlText w:val="-"/>
      <w:lvlJc w:val="left"/>
      <w:pPr>
        <w:ind w:left="720" w:hanging="360"/>
      </w:pPr>
      <w:rPr>
        <w:rFonts w:ascii="Times New Roman" w:eastAsiaTheme="minorEastAsia"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CF32E79"/>
    <w:multiLevelType w:val="hybridMultilevel"/>
    <w:tmpl w:val="1C7AEE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5D223B33"/>
    <w:multiLevelType w:val="hybridMultilevel"/>
    <w:tmpl w:val="40148DDA"/>
    <w:lvl w:ilvl="0" w:tplc="ED9886BC">
      <w:start w:val="3"/>
      <w:numFmt w:val="bullet"/>
      <w:lvlText w:val="-"/>
      <w:lvlJc w:val="left"/>
      <w:pPr>
        <w:ind w:left="642" w:hanging="360"/>
      </w:pPr>
      <w:rPr>
        <w:rFonts w:ascii="Times New Roman" w:eastAsiaTheme="minorEastAsia" w:hAnsi="Times New Roman" w:cs="Times New Roman" w:hint="default"/>
      </w:rPr>
    </w:lvl>
    <w:lvl w:ilvl="1" w:tplc="04190003" w:tentative="1">
      <w:start w:val="1"/>
      <w:numFmt w:val="bullet"/>
      <w:lvlText w:val="o"/>
      <w:lvlJc w:val="left"/>
      <w:pPr>
        <w:ind w:left="1362" w:hanging="360"/>
      </w:pPr>
      <w:rPr>
        <w:rFonts w:ascii="Courier New" w:hAnsi="Courier New" w:cs="Courier New" w:hint="default"/>
      </w:rPr>
    </w:lvl>
    <w:lvl w:ilvl="2" w:tplc="04190005" w:tentative="1">
      <w:start w:val="1"/>
      <w:numFmt w:val="bullet"/>
      <w:lvlText w:val=""/>
      <w:lvlJc w:val="left"/>
      <w:pPr>
        <w:ind w:left="2082" w:hanging="360"/>
      </w:pPr>
      <w:rPr>
        <w:rFonts w:ascii="Wingdings" w:hAnsi="Wingdings" w:hint="default"/>
      </w:rPr>
    </w:lvl>
    <w:lvl w:ilvl="3" w:tplc="04190001" w:tentative="1">
      <w:start w:val="1"/>
      <w:numFmt w:val="bullet"/>
      <w:lvlText w:val=""/>
      <w:lvlJc w:val="left"/>
      <w:pPr>
        <w:ind w:left="2802" w:hanging="360"/>
      </w:pPr>
      <w:rPr>
        <w:rFonts w:ascii="Symbol" w:hAnsi="Symbol" w:hint="default"/>
      </w:rPr>
    </w:lvl>
    <w:lvl w:ilvl="4" w:tplc="04190003" w:tentative="1">
      <w:start w:val="1"/>
      <w:numFmt w:val="bullet"/>
      <w:lvlText w:val="o"/>
      <w:lvlJc w:val="left"/>
      <w:pPr>
        <w:ind w:left="3522" w:hanging="360"/>
      </w:pPr>
      <w:rPr>
        <w:rFonts w:ascii="Courier New" w:hAnsi="Courier New" w:cs="Courier New" w:hint="default"/>
      </w:rPr>
    </w:lvl>
    <w:lvl w:ilvl="5" w:tplc="04190005" w:tentative="1">
      <w:start w:val="1"/>
      <w:numFmt w:val="bullet"/>
      <w:lvlText w:val=""/>
      <w:lvlJc w:val="left"/>
      <w:pPr>
        <w:ind w:left="4242" w:hanging="360"/>
      </w:pPr>
      <w:rPr>
        <w:rFonts w:ascii="Wingdings" w:hAnsi="Wingdings" w:hint="default"/>
      </w:rPr>
    </w:lvl>
    <w:lvl w:ilvl="6" w:tplc="04190001" w:tentative="1">
      <w:start w:val="1"/>
      <w:numFmt w:val="bullet"/>
      <w:lvlText w:val=""/>
      <w:lvlJc w:val="left"/>
      <w:pPr>
        <w:ind w:left="4962" w:hanging="360"/>
      </w:pPr>
      <w:rPr>
        <w:rFonts w:ascii="Symbol" w:hAnsi="Symbol" w:hint="default"/>
      </w:rPr>
    </w:lvl>
    <w:lvl w:ilvl="7" w:tplc="04190003" w:tentative="1">
      <w:start w:val="1"/>
      <w:numFmt w:val="bullet"/>
      <w:lvlText w:val="o"/>
      <w:lvlJc w:val="left"/>
      <w:pPr>
        <w:ind w:left="5682" w:hanging="360"/>
      </w:pPr>
      <w:rPr>
        <w:rFonts w:ascii="Courier New" w:hAnsi="Courier New" w:cs="Courier New" w:hint="default"/>
      </w:rPr>
    </w:lvl>
    <w:lvl w:ilvl="8" w:tplc="04190005" w:tentative="1">
      <w:start w:val="1"/>
      <w:numFmt w:val="bullet"/>
      <w:lvlText w:val=""/>
      <w:lvlJc w:val="left"/>
      <w:pPr>
        <w:ind w:left="6402" w:hanging="360"/>
      </w:pPr>
      <w:rPr>
        <w:rFonts w:ascii="Wingdings" w:hAnsi="Wingdings" w:hint="default"/>
      </w:rPr>
    </w:lvl>
  </w:abstractNum>
  <w:abstractNum w:abstractNumId="19" w15:restartNumberingAfterBreak="0">
    <w:nsid w:val="64CA6079"/>
    <w:multiLevelType w:val="hybridMultilevel"/>
    <w:tmpl w:val="9B3E046A"/>
    <w:lvl w:ilvl="0" w:tplc="BD782B8A">
      <w:start w:val="2"/>
      <w:numFmt w:val="bullet"/>
      <w:lvlText w:val="-"/>
      <w:lvlJc w:val="left"/>
      <w:pPr>
        <w:ind w:left="720" w:hanging="360"/>
      </w:pPr>
      <w:rPr>
        <w:rFonts w:ascii="Times New Roman" w:eastAsia="Calibr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4EB6139"/>
    <w:multiLevelType w:val="hybridMultilevel"/>
    <w:tmpl w:val="1A76A4F0"/>
    <w:lvl w:ilvl="0" w:tplc="41A6FC1A">
      <w:start w:val="4"/>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68E32406"/>
    <w:multiLevelType w:val="multilevel"/>
    <w:tmpl w:val="42E0DFD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E7019DF"/>
    <w:multiLevelType w:val="hybridMultilevel"/>
    <w:tmpl w:val="76F4FC1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1DA7691"/>
    <w:multiLevelType w:val="hybridMultilevel"/>
    <w:tmpl w:val="8B944A02"/>
    <w:lvl w:ilvl="0" w:tplc="9B68519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4" w15:restartNumberingAfterBreak="0">
    <w:nsid w:val="73D326F8"/>
    <w:multiLevelType w:val="hybridMultilevel"/>
    <w:tmpl w:val="B88AF59E"/>
    <w:lvl w:ilvl="0" w:tplc="3B00E6CA">
      <w:start w:val="1"/>
      <w:numFmt w:val="bullet"/>
      <w:lvlText w:val=""/>
      <w:lvlJc w:val="left"/>
      <w:pPr>
        <w:ind w:left="720" w:hanging="360"/>
      </w:pPr>
      <w:rPr>
        <w:rFonts w:ascii="Wingdings" w:hAnsi="Wingdings" w:hint="default"/>
        <w:color w:val="000000" w:themeColor="text1"/>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75811ECB"/>
    <w:multiLevelType w:val="multilevel"/>
    <w:tmpl w:val="05DE62EE"/>
    <w:lvl w:ilvl="0">
      <w:start w:val="2"/>
      <w:numFmt w:val="decimal"/>
      <w:lvlText w:val="%1."/>
      <w:lvlJc w:val="left"/>
      <w:pPr>
        <w:ind w:left="540" w:hanging="540"/>
      </w:pPr>
      <w:rPr>
        <w:rFonts w:hint="default"/>
        <w:b/>
      </w:rPr>
    </w:lvl>
    <w:lvl w:ilvl="1">
      <w:start w:val="3"/>
      <w:numFmt w:val="decimal"/>
      <w:lvlText w:val="%1.%2."/>
      <w:lvlJc w:val="left"/>
      <w:pPr>
        <w:ind w:left="900" w:hanging="54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26" w15:restartNumberingAfterBreak="0">
    <w:nsid w:val="7724649D"/>
    <w:multiLevelType w:val="hybridMultilevel"/>
    <w:tmpl w:val="55EA6E3C"/>
    <w:lvl w:ilvl="0" w:tplc="71E86DB8">
      <w:start w:val="1"/>
      <w:numFmt w:val="bullet"/>
      <w:lvlText w:val="•"/>
      <w:lvlJc w:val="left"/>
      <w:pPr>
        <w:ind w:left="540" w:hanging="260"/>
      </w:pPr>
    </w:lvl>
    <w:lvl w:ilvl="1" w:tplc="A03A55BC">
      <w:numFmt w:val="decimal"/>
      <w:lvlText w:val=""/>
      <w:lvlJc w:val="left"/>
    </w:lvl>
    <w:lvl w:ilvl="2" w:tplc="8D1CD890">
      <w:numFmt w:val="decimal"/>
      <w:lvlText w:val=""/>
      <w:lvlJc w:val="left"/>
    </w:lvl>
    <w:lvl w:ilvl="3" w:tplc="970C2780">
      <w:numFmt w:val="decimal"/>
      <w:lvlText w:val=""/>
      <w:lvlJc w:val="left"/>
    </w:lvl>
    <w:lvl w:ilvl="4" w:tplc="B5366F50">
      <w:numFmt w:val="decimal"/>
      <w:lvlText w:val=""/>
      <w:lvlJc w:val="left"/>
    </w:lvl>
    <w:lvl w:ilvl="5" w:tplc="C92AF1B8">
      <w:numFmt w:val="decimal"/>
      <w:lvlText w:val=""/>
      <w:lvlJc w:val="left"/>
    </w:lvl>
    <w:lvl w:ilvl="6" w:tplc="B0FE9170">
      <w:numFmt w:val="decimal"/>
      <w:lvlText w:val=""/>
      <w:lvlJc w:val="left"/>
    </w:lvl>
    <w:lvl w:ilvl="7" w:tplc="E0B639E2">
      <w:numFmt w:val="decimal"/>
      <w:lvlText w:val=""/>
      <w:lvlJc w:val="left"/>
    </w:lvl>
    <w:lvl w:ilvl="8" w:tplc="DB803FD4">
      <w:numFmt w:val="decimal"/>
      <w:lvlText w:val=""/>
      <w:lvlJc w:val="left"/>
    </w:lvl>
  </w:abstractNum>
  <w:abstractNum w:abstractNumId="27" w15:restartNumberingAfterBreak="0">
    <w:nsid w:val="77F84494"/>
    <w:multiLevelType w:val="hybridMultilevel"/>
    <w:tmpl w:val="C764C380"/>
    <w:lvl w:ilvl="0" w:tplc="A5B6D96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A903735"/>
    <w:multiLevelType w:val="hybridMultilevel"/>
    <w:tmpl w:val="04A0C4F2"/>
    <w:lvl w:ilvl="0" w:tplc="04090005">
      <w:start w:val="1"/>
      <w:numFmt w:val="bullet"/>
      <w:lvlText w:val=""/>
      <w:lvlJc w:val="left"/>
      <w:pPr>
        <w:ind w:left="1440" w:hanging="360"/>
      </w:pPr>
      <w:rPr>
        <w:rFonts w:ascii="Wingdings" w:hAnsi="Wingdings" w:hint="default"/>
        <w:b/>
        <w:bCs/>
        <w:i w:val="0"/>
        <w:iCs w:val="0"/>
        <w:color w:val="0D0D0D"/>
        <w:sz w:val="24"/>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7"/>
  </w:num>
  <w:num w:numId="3">
    <w:abstractNumId w:val="10"/>
  </w:num>
  <w:num w:numId="4">
    <w:abstractNumId w:val="3"/>
  </w:num>
  <w:num w:numId="5">
    <w:abstractNumId w:val="27"/>
  </w:num>
  <w:num w:numId="6">
    <w:abstractNumId w:val="24"/>
  </w:num>
  <w:num w:numId="7">
    <w:abstractNumId w:val="9"/>
  </w:num>
  <w:num w:numId="8">
    <w:abstractNumId w:val="28"/>
  </w:num>
  <w:num w:numId="9">
    <w:abstractNumId w:val="23"/>
  </w:num>
  <w:num w:numId="10">
    <w:abstractNumId w:val="19"/>
  </w:num>
  <w:num w:numId="11">
    <w:abstractNumId w:val="15"/>
  </w:num>
  <w:num w:numId="12">
    <w:abstractNumId w:val="20"/>
  </w:num>
  <w:num w:numId="13">
    <w:abstractNumId w:val="4"/>
  </w:num>
  <w:num w:numId="14">
    <w:abstractNumId w:val="21"/>
  </w:num>
  <w:num w:numId="15">
    <w:abstractNumId w:val="25"/>
  </w:num>
  <w:num w:numId="16">
    <w:abstractNumId w:val="6"/>
  </w:num>
  <w:num w:numId="17">
    <w:abstractNumId w:val="1"/>
  </w:num>
  <w:num w:numId="18">
    <w:abstractNumId w:val="14"/>
  </w:num>
  <w:num w:numId="19">
    <w:abstractNumId w:val="17"/>
  </w:num>
  <w:num w:numId="20">
    <w:abstractNumId w:val="16"/>
  </w:num>
  <w:num w:numId="21">
    <w:abstractNumId w:val="11"/>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8"/>
  </w:num>
  <w:num w:numId="24">
    <w:abstractNumId w:val="8"/>
  </w:num>
  <w:num w:numId="25">
    <w:abstractNumId w:val="13"/>
  </w:num>
  <w:num w:numId="26">
    <w:abstractNumId w:val="22"/>
  </w:num>
  <w:num w:numId="27">
    <w:abstractNumId w:val="2"/>
  </w:num>
  <w:num w:numId="28">
    <w:abstractNumId w:val="26"/>
    <w:lvlOverride w:ilvl="0">
      <w:startOverride w:val="1"/>
    </w:lvlOverride>
  </w:num>
  <w:num w:numId="29">
    <w:abstractNumId w:val="5"/>
    <w:lvlOverride w:ilvl="0">
      <w:startOverride w:val="1"/>
    </w:lvlOverride>
  </w:num>
  <w:num w:numId="30">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proofState w:grammar="clean"/>
  <w:defaultTabStop w:val="720"/>
  <w:hyphenationZone w:val="425"/>
  <w:characterSpacingControl w:val="doNotCompress"/>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44DA"/>
    <w:rsid w:val="00000292"/>
    <w:rsid w:val="00003B21"/>
    <w:rsid w:val="00003C31"/>
    <w:rsid w:val="00005465"/>
    <w:rsid w:val="00007724"/>
    <w:rsid w:val="0001443C"/>
    <w:rsid w:val="0001570A"/>
    <w:rsid w:val="0001660A"/>
    <w:rsid w:val="000179CA"/>
    <w:rsid w:val="0002062B"/>
    <w:rsid w:val="00021E2A"/>
    <w:rsid w:val="000224DA"/>
    <w:rsid w:val="0002618D"/>
    <w:rsid w:val="00026620"/>
    <w:rsid w:val="00030D53"/>
    <w:rsid w:val="00032133"/>
    <w:rsid w:val="00032FE0"/>
    <w:rsid w:val="0003564A"/>
    <w:rsid w:val="0003666C"/>
    <w:rsid w:val="000370E9"/>
    <w:rsid w:val="000373BC"/>
    <w:rsid w:val="0004137A"/>
    <w:rsid w:val="00042C20"/>
    <w:rsid w:val="00043FA4"/>
    <w:rsid w:val="0004559A"/>
    <w:rsid w:val="00046978"/>
    <w:rsid w:val="00046D05"/>
    <w:rsid w:val="0005111E"/>
    <w:rsid w:val="00051908"/>
    <w:rsid w:val="0005326F"/>
    <w:rsid w:val="0005481D"/>
    <w:rsid w:val="00057098"/>
    <w:rsid w:val="0006109F"/>
    <w:rsid w:val="0006121D"/>
    <w:rsid w:val="00061D6F"/>
    <w:rsid w:val="000621DE"/>
    <w:rsid w:val="00063DF4"/>
    <w:rsid w:val="00063E42"/>
    <w:rsid w:val="00065A9C"/>
    <w:rsid w:val="00065DA2"/>
    <w:rsid w:val="000661F1"/>
    <w:rsid w:val="0006665D"/>
    <w:rsid w:val="00066781"/>
    <w:rsid w:val="00066BAB"/>
    <w:rsid w:val="00066EC7"/>
    <w:rsid w:val="00067A7A"/>
    <w:rsid w:val="00070309"/>
    <w:rsid w:val="00071230"/>
    <w:rsid w:val="000732C5"/>
    <w:rsid w:val="00073989"/>
    <w:rsid w:val="000746E9"/>
    <w:rsid w:val="00075ACB"/>
    <w:rsid w:val="00075F89"/>
    <w:rsid w:val="00081045"/>
    <w:rsid w:val="0008175F"/>
    <w:rsid w:val="00081A98"/>
    <w:rsid w:val="000823F0"/>
    <w:rsid w:val="00082C9F"/>
    <w:rsid w:val="00082FEE"/>
    <w:rsid w:val="0008334B"/>
    <w:rsid w:val="0008450C"/>
    <w:rsid w:val="000848AE"/>
    <w:rsid w:val="000851FD"/>
    <w:rsid w:val="000855EF"/>
    <w:rsid w:val="00086162"/>
    <w:rsid w:val="000869C2"/>
    <w:rsid w:val="00087476"/>
    <w:rsid w:val="0008759B"/>
    <w:rsid w:val="0009126E"/>
    <w:rsid w:val="0009133D"/>
    <w:rsid w:val="0009138B"/>
    <w:rsid w:val="000A0031"/>
    <w:rsid w:val="000A12F8"/>
    <w:rsid w:val="000A42AA"/>
    <w:rsid w:val="000B04EB"/>
    <w:rsid w:val="000B10E6"/>
    <w:rsid w:val="000B1283"/>
    <w:rsid w:val="000B1840"/>
    <w:rsid w:val="000B31AA"/>
    <w:rsid w:val="000B4055"/>
    <w:rsid w:val="000B41A2"/>
    <w:rsid w:val="000B59EF"/>
    <w:rsid w:val="000B5A62"/>
    <w:rsid w:val="000B5C79"/>
    <w:rsid w:val="000B65B4"/>
    <w:rsid w:val="000C0ED4"/>
    <w:rsid w:val="000C17C9"/>
    <w:rsid w:val="000C3104"/>
    <w:rsid w:val="000C3CC8"/>
    <w:rsid w:val="000C40A6"/>
    <w:rsid w:val="000C46C8"/>
    <w:rsid w:val="000C5E97"/>
    <w:rsid w:val="000D1312"/>
    <w:rsid w:val="000D5AED"/>
    <w:rsid w:val="000D6362"/>
    <w:rsid w:val="000D693D"/>
    <w:rsid w:val="000E1786"/>
    <w:rsid w:val="000E2E5F"/>
    <w:rsid w:val="000E4896"/>
    <w:rsid w:val="000E5C27"/>
    <w:rsid w:val="000E7DF6"/>
    <w:rsid w:val="000F01FE"/>
    <w:rsid w:val="000F0F28"/>
    <w:rsid w:val="000F2461"/>
    <w:rsid w:val="000F3A0D"/>
    <w:rsid w:val="000F3C5A"/>
    <w:rsid w:val="000F4230"/>
    <w:rsid w:val="000F5372"/>
    <w:rsid w:val="000F5E1D"/>
    <w:rsid w:val="000F6D38"/>
    <w:rsid w:val="000F6DE4"/>
    <w:rsid w:val="001003AC"/>
    <w:rsid w:val="001009EA"/>
    <w:rsid w:val="00101898"/>
    <w:rsid w:val="00101B82"/>
    <w:rsid w:val="00101D95"/>
    <w:rsid w:val="001020AC"/>
    <w:rsid w:val="0010341C"/>
    <w:rsid w:val="00106C5B"/>
    <w:rsid w:val="00107910"/>
    <w:rsid w:val="00107CA4"/>
    <w:rsid w:val="001101B8"/>
    <w:rsid w:val="00112F7D"/>
    <w:rsid w:val="00116A48"/>
    <w:rsid w:val="001173F4"/>
    <w:rsid w:val="001201EA"/>
    <w:rsid w:val="00120C35"/>
    <w:rsid w:val="00120F75"/>
    <w:rsid w:val="00122F65"/>
    <w:rsid w:val="00124442"/>
    <w:rsid w:val="00125D1E"/>
    <w:rsid w:val="00130219"/>
    <w:rsid w:val="00130A7A"/>
    <w:rsid w:val="001321F7"/>
    <w:rsid w:val="0013496C"/>
    <w:rsid w:val="00136D0C"/>
    <w:rsid w:val="001372B9"/>
    <w:rsid w:val="0014007F"/>
    <w:rsid w:val="0014045A"/>
    <w:rsid w:val="00140E8B"/>
    <w:rsid w:val="00140F1E"/>
    <w:rsid w:val="00145F13"/>
    <w:rsid w:val="00153437"/>
    <w:rsid w:val="00155451"/>
    <w:rsid w:val="0015595B"/>
    <w:rsid w:val="001564F3"/>
    <w:rsid w:val="00157C68"/>
    <w:rsid w:val="001618EB"/>
    <w:rsid w:val="001619EE"/>
    <w:rsid w:val="00161E79"/>
    <w:rsid w:val="001624C7"/>
    <w:rsid w:val="001646DB"/>
    <w:rsid w:val="001648A7"/>
    <w:rsid w:val="00165AC0"/>
    <w:rsid w:val="00167AED"/>
    <w:rsid w:val="00170AEF"/>
    <w:rsid w:val="00170CA8"/>
    <w:rsid w:val="00170CC3"/>
    <w:rsid w:val="0017181E"/>
    <w:rsid w:val="00172E3B"/>
    <w:rsid w:val="00173913"/>
    <w:rsid w:val="00174004"/>
    <w:rsid w:val="00174F79"/>
    <w:rsid w:val="00175D8D"/>
    <w:rsid w:val="00176254"/>
    <w:rsid w:val="00176302"/>
    <w:rsid w:val="001765F3"/>
    <w:rsid w:val="00176B2C"/>
    <w:rsid w:val="00176DF8"/>
    <w:rsid w:val="00180C78"/>
    <w:rsid w:val="00180D04"/>
    <w:rsid w:val="0018185F"/>
    <w:rsid w:val="001827EB"/>
    <w:rsid w:val="00183802"/>
    <w:rsid w:val="001841BC"/>
    <w:rsid w:val="001849C1"/>
    <w:rsid w:val="0018598A"/>
    <w:rsid w:val="00185CD7"/>
    <w:rsid w:val="00185E97"/>
    <w:rsid w:val="0018608C"/>
    <w:rsid w:val="0018677A"/>
    <w:rsid w:val="00187AE5"/>
    <w:rsid w:val="00190158"/>
    <w:rsid w:val="00196AE5"/>
    <w:rsid w:val="0019761D"/>
    <w:rsid w:val="001A0C2E"/>
    <w:rsid w:val="001A151A"/>
    <w:rsid w:val="001A3905"/>
    <w:rsid w:val="001A5CEA"/>
    <w:rsid w:val="001A743A"/>
    <w:rsid w:val="001B0C3E"/>
    <w:rsid w:val="001B29FE"/>
    <w:rsid w:val="001B3AD1"/>
    <w:rsid w:val="001B4842"/>
    <w:rsid w:val="001B4A6A"/>
    <w:rsid w:val="001B5B08"/>
    <w:rsid w:val="001B637B"/>
    <w:rsid w:val="001B6B1E"/>
    <w:rsid w:val="001C0C01"/>
    <w:rsid w:val="001C1FF9"/>
    <w:rsid w:val="001C25FD"/>
    <w:rsid w:val="001C2A5D"/>
    <w:rsid w:val="001C358F"/>
    <w:rsid w:val="001C3C82"/>
    <w:rsid w:val="001C543A"/>
    <w:rsid w:val="001C549F"/>
    <w:rsid w:val="001C5C2D"/>
    <w:rsid w:val="001C7BE0"/>
    <w:rsid w:val="001D055E"/>
    <w:rsid w:val="001D0BE1"/>
    <w:rsid w:val="001D3208"/>
    <w:rsid w:val="001D3A12"/>
    <w:rsid w:val="001D56D0"/>
    <w:rsid w:val="001D6643"/>
    <w:rsid w:val="001D71A1"/>
    <w:rsid w:val="001E1289"/>
    <w:rsid w:val="001E248C"/>
    <w:rsid w:val="001E2CC3"/>
    <w:rsid w:val="001E440F"/>
    <w:rsid w:val="001E48D8"/>
    <w:rsid w:val="001E4C04"/>
    <w:rsid w:val="001E6905"/>
    <w:rsid w:val="001E70A8"/>
    <w:rsid w:val="001E71BB"/>
    <w:rsid w:val="001E7573"/>
    <w:rsid w:val="001F00FC"/>
    <w:rsid w:val="001F2123"/>
    <w:rsid w:val="001F4FF1"/>
    <w:rsid w:val="001F534B"/>
    <w:rsid w:val="001F56E5"/>
    <w:rsid w:val="001F5A00"/>
    <w:rsid w:val="001F61BC"/>
    <w:rsid w:val="00201077"/>
    <w:rsid w:val="0020159E"/>
    <w:rsid w:val="00204AE8"/>
    <w:rsid w:val="002069CC"/>
    <w:rsid w:val="002102AE"/>
    <w:rsid w:val="0021033C"/>
    <w:rsid w:val="00210892"/>
    <w:rsid w:val="002109BD"/>
    <w:rsid w:val="00210A69"/>
    <w:rsid w:val="00211704"/>
    <w:rsid w:val="00213620"/>
    <w:rsid w:val="00213F71"/>
    <w:rsid w:val="00214A5C"/>
    <w:rsid w:val="00216906"/>
    <w:rsid w:val="002169F8"/>
    <w:rsid w:val="00217F9B"/>
    <w:rsid w:val="0022017C"/>
    <w:rsid w:val="00220A3B"/>
    <w:rsid w:val="002211A9"/>
    <w:rsid w:val="00221780"/>
    <w:rsid w:val="00221CA1"/>
    <w:rsid w:val="00222A1B"/>
    <w:rsid w:val="002245A1"/>
    <w:rsid w:val="00227EC1"/>
    <w:rsid w:val="002303B3"/>
    <w:rsid w:val="0023095A"/>
    <w:rsid w:val="0023218E"/>
    <w:rsid w:val="002327DA"/>
    <w:rsid w:val="0023385D"/>
    <w:rsid w:val="00233F0D"/>
    <w:rsid w:val="0023424B"/>
    <w:rsid w:val="00235A2C"/>
    <w:rsid w:val="00236B5B"/>
    <w:rsid w:val="00241748"/>
    <w:rsid w:val="002444CA"/>
    <w:rsid w:val="00244A8F"/>
    <w:rsid w:val="00245164"/>
    <w:rsid w:val="002467FD"/>
    <w:rsid w:val="00246F2A"/>
    <w:rsid w:val="00250048"/>
    <w:rsid w:val="002523E0"/>
    <w:rsid w:val="00253361"/>
    <w:rsid w:val="002561B9"/>
    <w:rsid w:val="00260E77"/>
    <w:rsid w:val="00262F22"/>
    <w:rsid w:val="002660BE"/>
    <w:rsid w:val="002715CC"/>
    <w:rsid w:val="00272719"/>
    <w:rsid w:val="0027300E"/>
    <w:rsid w:val="00273407"/>
    <w:rsid w:val="00273EEB"/>
    <w:rsid w:val="00274C44"/>
    <w:rsid w:val="0027743F"/>
    <w:rsid w:val="00277502"/>
    <w:rsid w:val="00284EDA"/>
    <w:rsid w:val="00285140"/>
    <w:rsid w:val="00286356"/>
    <w:rsid w:val="00286809"/>
    <w:rsid w:val="00286E13"/>
    <w:rsid w:val="00290847"/>
    <w:rsid w:val="00290F59"/>
    <w:rsid w:val="00290F76"/>
    <w:rsid w:val="0029257F"/>
    <w:rsid w:val="00293056"/>
    <w:rsid w:val="00293A8E"/>
    <w:rsid w:val="0029438B"/>
    <w:rsid w:val="0029541C"/>
    <w:rsid w:val="002954F6"/>
    <w:rsid w:val="00297C35"/>
    <w:rsid w:val="00297E2D"/>
    <w:rsid w:val="002A0F99"/>
    <w:rsid w:val="002A25F8"/>
    <w:rsid w:val="002A2D48"/>
    <w:rsid w:val="002A4822"/>
    <w:rsid w:val="002A4871"/>
    <w:rsid w:val="002A60B4"/>
    <w:rsid w:val="002A7A1D"/>
    <w:rsid w:val="002B26A0"/>
    <w:rsid w:val="002B5B6B"/>
    <w:rsid w:val="002B7409"/>
    <w:rsid w:val="002C2553"/>
    <w:rsid w:val="002C47F0"/>
    <w:rsid w:val="002C57EA"/>
    <w:rsid w:val="002D05D6"/>
    <w:rsid w:val="002D1E6F"/>
    <w:rsid w:val="002D5F11"/>
    <w:rsid w:val="002D6E4F"/>
    <w:rsid w:val="002E051A"/>
    <w:rsid w:val="002E0760"/>
    <w:rsid w:val="002E079D"/>
    <w:rsid w:val="002E0D1D"/>
    <w:rsid w:val="002E1A83"/>
    <w:rsid w:val="002E2D5F"/>
    <w:rsid w:val="002E2F25"/>
    <w:rsid w:val="002E3DFF"/>
    <w:rsid w:val="002E6506"/>
    <w:rsid w:val="002E6BF7"/>
    <w:rsid w:val="002E6CBF"/>
    <w:rsid w:val="002E73A0"/>
    <w:rsid w:val="002E757E"/>
    <w:rsid w:val="002E781D"/>
    <w:rsid w:val="002F1EE1"/>
    <w:rsid w:val="002F1F53"/>
    <w:rsid w:val="002F260D"/>
    <w:rsid w:val="002F27EF"/>
    <w:rsid w:val="002F5531"/>
    <w:rsid w:val="002F5CCD"/>
    <w:rsid w:val="00300D06"/>
    <w:rsid w:val="00303D26"/>
    <w:rsid w:val="003044DA"/>
    <w:rsid w:val="003046BF"/>
    <w:rsid w:val="003076D7"/>
    <w:rsid w:val="00311539"/>
    <w:rsid w:val="0031193A"/>
    <w:rsid w:val="00311CD6"/>
    <w:rsid w:val="0031363D"/>
    <w:rsid w:val="00313E02"/>
    <w:rsid w:val="003156B2"/>
    <w:rsid w:val="00316716"/>
    <w:rsid w:val="00317478"/>
    <w:rsid w:val="00317BE0"/>
    <w:rsid w:val="00320B0B"/>
    <w:rsid w:val="0032389A"/>
    <w:rsid w:val="00323B48"/>
    <w:rsid w:val="00323D16"/>
    <w:rsid w:val="00323FAC"/>
    <w:rsid w:val="00324265"/>
    <w:rsid w:val="00333123"/>
    <w:rsid w:val="00333F43"/>
    <w:rsid w:val="00335AD8"/>
    <w:rsid w:val="0033619B"/>
    <w:rsid w:val="003368BB"/>
    <w:rsid w:val="00340064"/>
    <w:rsid w:val="00341454"/>
    <w:rsid w:val="00341F02"/>
    <w:rsid w:val="003420B4"/>
    <w:rsid w:val="0034427D"/>
    <w:rsid w:val="0035439B"/>
    <w:rsid w:val="00354FB2"/>
    <w:rsid w:val="0035501B"/>
    <w:rsid w:val="00356121"/>
    <w:rsid w:val="00360064"/>
    <w:rsid w:val="003604E7"/>
    <w:rsid w:val="00360525"/>
    <w:rsid w:val="0036248F"/>
    <w:rsid w:val="00362CDF"/>
    <w:rsid w:val="00363BE3"/>
    <w:rsid w:val="0036506D"/>
    <w:rsid w:val="003677F5"/>
    <w:rsid w:val="00367BED"/>
    <w:rsid w:val="00372985"/>
    <w:rsid w:val="00374229"/>
    <w:rsid w:val="00375F71"/>
    <w:rsid w:val="0037689B"/>
    <w:rsid w:val="00382190"/>
    <w:rsid w:val="00382EF1"/>
    <w:rsid w:val="0038324C"/>
    <w:rsid w:val="00384E4D"/>
    <w:rsid w:val="00385D3D"/>
    <w:rsid w:val="00385E6C"/>
    <w:rsid w:val="003861D8"/>
    <w:rsid w:val="00386A32"/>
    <w:rsid w:val="00386CFF"/>
    <w:rsid w:val="0038738E"/>
    <w:rsid w:val="00391574"/>
    <w:rsid w:val="00391E41"/>
    <w:rsid w:val="00391ED0"/>
    <w:rsid w:val="0039262A"/>
    <w:rsid w:val="00393520"/>
    <w:rsid w:val="00395B2C"/>
    <w:rsid w:val="00397ABE"/>
    <w:rsid w:val="003A16E2"/>
    <w:rsid w:val="003A1FB5"/>
    <w:rsid w:val="003A2A07"/>
    <w:rsid w:val="003A44D5"/>
    <w:rsid w:val="003A4E5D"/>
    <w:rsid w:val="003A731F"/>
    <w:rsid w:val="003A7502"/>
    <w:rsid w:val="003B0CCD"/>
    <w:rsid w:val="003B0DBF"/>
    <w:rsid w:val="003B13A8"/>
    <w:rsid w:val="003B205D"/>
    <w:rsid w:val="003B2849"/>
    <w:rsid w:val="003B2866"/>
    <w:rsid w:val="003B288B"/>
    <w:rsid w:val="003B2C9F"/>
    <w:rsid w:val="003B40F0"/>
    <w:rsid w:val="003B6559"/>
    <w:rsid w:val="003B7071"/>
    <w:rsid w:val="003C2E8F"/>
    <w:rsid w:val="003C3125"/>
    <w:rsid w:val="003C6A6E"/>
    <w:rsid w:val="003D028D"/>
    <w:rsid w:val="003D0910"/>
    <w:rsid w:val="003D3686"/>
    <w:rsid w:val="003D3A79"/>
    <w:rsid w:val="003D3E63"/>
    <w:rsid w:val="003D44C6"/>
    <w:rsid w:val="003D5D46"/>
    <w:rsid w:val="003D61EC"/>
    <w:rsid w:val="003D6F25"/>
    <w:rsid w:val="003D7185"/>
    <w:rsid w:val="003E04F0"/>
    <w:rsid w:val="003E0B33"/>
    <w:rsid w:val="003E262E"/>
    <w:rsid w:val="003E2C3C"/>
    <w:rsid w:val="003E4C8E"/>
    <w:rsid w:val="003E5C66"/>
    <w:rsid w:val="003E605A"/>
    <w:rsid w:val="003E70B8"/>
    <w:rsid w:val="003E7C8C"/>
    <w:rsid w:val="003E7E59"/>
    <w:rsid w:val="003F0BFC"/>
    <w:rsid w:val="003F1536"/>
    <w:rsid w:val="003F46F4"/>
    <w:rsid w:val="003F5A6C"/>
    <w:rsid w:val="003F6111"/>
    <w:rsid w:val="003F617E"/>
    <w:rsid w:val="003F68B4"/>
    <w:rsid w:val="003F68E7"/>
    <w:rsid w:val="003F78BF"/>
    <w:rsid w:val="003F7E66"/>
    <w:rsid w:val="004006B4"/>
    <w:rsid w:val="00401AE7"/>
    <w:rsid w:val="00404A96"/>
    <w:rsid w:val="00405DA5"/>
    <w:rsid w:val="004106DF"/>
    <w:rsid w:val="00410F75"/>
    <w:rsid w:val="00411D7E"/>
    <w:rsid w:val="004154B2"/>
    <w:rsid w:val="00415C8F"/>
    <w:rsid w:val="00415FB2"/>
    <w:rsid w:val="00416FEB"/>
    <w:rsid w:val="00417173"/>
    <w:rsid w:val="004175F4"/>
    <w:rsid w:val="00420E83"/>
    <w:rsid w:val="004229E3"/>
    <w:rsid w:val="00422EE8"/>
    <w:rsid w:val="00423402"/>
    <w:rsid w:val="004248B1"/>
    <w:rsid w:val="00425813"/>
    <w:rsid w:val="0042620D"/>
    <w:rsid w:val="004264F3"/>
    <w:rsid w:val="00430190"/>
    <w:rsid w:val="00430BC0"/>
    <w:rsid w:val="0043356F"/>
    <w:rsid w:val="00433620"/>
    <w:rsid w:val="00440BF7"/>
    <w:rsid w:val="0044160A"/>
    <w:rsid w:val="0044287D"/>
    <w:rsid w:val="004448B2"/>
    <w:rsid w:val="00444ABB"/>
    <w:rsid w:val="00444FD3"/>
    <w:rsid w:val="00445C73"/>
    <w:rsid w:val="00445F23"/>
    <w:rsid w:val="00447040"/>
    <w:rsid w:val="004476AD"/>
    <w:rsid w:val="00450AFC"/>
    <w:rsid w:val="00453C37"/>
    <w:rsid w:val="004552F4"/>
    <w:rsid w:val="00456985"/>
    <w:rsid w:val="00456B3D"/>
    <w:rsid w:val="00457071"/>
    <w:rsid w:val="00457EF4"/>
    <w:rsid w:val="004614FA"/>
    <w:rsid w:val="004635CB"/>
    <w:rsid w:val="00464D26"/>
    <w:rsid w:val="00465901"/>
    <w:rsid w:val="00465A9E"/>
    <w:rsid w:val="00465ED8"/>
    <w:rsid w:val="004669CD"/>
    <w:rsid w:val="0046739D"/>
    <w:rsid w:val="004673A1"/>
    <w:rsid w:val="00467C56"/>
    <w:rsid w:val="0047187B"/>
    <w:rsid w:val="0047319C"/>
    <w:rsid w:val="00473219"/>
    <w:rsid w:val="0047641E"/>
    <w:rsid w:val="0048052D"/>
    <w:rsid w:val="004805DA"/>
    <w:rsid w:val="00480667"/>
    <w:rsid w:val="00481591"/>
    <w:rsid w:val="00481777"/>
    <w:rsid w:val="0048276F"/>
    <w:rsid w:val="00482FE1"/>
    <w:rsid w:val="00484BC9"/>
    <w:rsid w:val="00484E86"/>
    <w:rsid w:val="00486F59"/>
    <w:rsid w:val="004918DE"/>
    <w:rsid w:val="00491C07"/>
    <w:rsid w:val="00491EED"/>
    <w:rsid w:val="00492045"/>
    <w:rsid w:val="00492833"/>
    <w:rsid w:val="00492E72"/>
    <w:rsid w:val="0049540B"/>
    <w:rsid w:val="00497059"/>
    <w:rsid w:val="004A138A"/>
    <w:rsid w:val="004A2D37"/>
    <w:rsid w:val="004A2E4D"/>
    <w:rsid w:val="004A37C8"/>
    <w:rsid w:val="004A3847"/>
    <w:rsid w:val="004A472E"/>
    <w:rsid w:val="004A4815"/>
    <w:rsid w:val="004A4DC0"/>
    <w:rsid w:val="004A76AE"/>
    <w:rsid w:val="004B24AD"/>
    <w:rsid w:val="004B31C9"/>
    <w:rsid w:val="004B32FC"/>
    <w:rsid w:val="004B4875"/>
    <w:rsid w:val="004B4FE4"/>
    <w:rsid w:val="004B5FD2"/>
    <w:rsid w:val="004C0233"/>
    <w:rsid w:val="004C0F61"/>
    <w:rsid w:val="004C1A32"/>
    <w:rsid w:val="004C38A0"/>
    <w:rsid w:val="004C45FB"/>
    <w:rsid w:val="004C498D"/>
    <w:rsid w:val="004C4F9A"/>
    <w:rsid w:val="004C4FEB"/>
    <w:rsid w:val="004D1D2C"/>
    <w:rsid w:val="004D5B05"/>
    <w:rsid w:val="004D6B76"/>
    <w:rsid w:val="004E018B"/>
    <w:rsid w:val="004E06F1"/>
    <w:rsid w:val="004E1E05"/>
    <w:rsid w:val="004E21C2"/>
    <w:rsid w:val="004E21C4"/>
    <w:rsid w:val="004E2548"/>
    <w:rsid w:val="004E3F57"/>
    <w:rsid w:val="004E498D"/>
    <w:rsid w:val="004E548E"/>
    <w:rsid w:val="004E5BD0"/>
    <w:rsid w:val="004E77D0"/>
    <w:rsid w:val="004F02EA"/>
    <w:rsid w:val="004F41DA"/>
    <w:rsid w:val="004F5D6C"/>
    <w:rsid w:val="004F644A"/>
    <w:rsid w:val="004F6546"/>
    <w:rsid w:val="004F7C96"/>
    <w:rsid w:val="005022F6"/>
    <w:rsid w:val="00502F29"/>
    <w:rsid w:val="00503CDB"/>
    <w:rsid w:val="0050465F"/>
    <w:rsid w:val="00504F35"/>
    <w:rsid w:val="005059E9"/>
    <w:rsid w:val="00505AA5"/>
    <w:rsid w:val="00507D32"/>
    <w:rsid w:val="005109CE"/>
    <w:rsid w:val="00511120"/>
    <w:rsid w:val="005132A6"/>
    <w:rsid w:val="0051453E"/>
    <w:rsid w:val="005146BE"/>
    <w:rsid w:val="0051659C"/>
    <w:rsid w:val="00516665"/>
    <w:rsid w:val="0051762E"/>
    <w:rsid w:val="005179EF"/>
    <w:rsid w:val="0052011A"/>
    <w:rsid w:val="005215B0"/>
    <w:rsid w:val="005219CA"/>
    <w:rsid w:val="0052338D"/>
    <w:rsid w:val="00524DB2"/>
    <w:rsid w:val="00524DF5"/>
    <w:rsid w:val="0052570B"/>
    <w:rsid w:val="00525711"/>
    <w:rsid w:val="00525D27"/>
    <w:rsid w:val="00526260"/>
    <w:rsid w:val="00527BA7"/>
    <w:rsid w:val="00527CF6"/>
    <w:rsid w:val="00527D4C"/>
    <w:rsid w:val="00531DD7"/>
    <w:rsid w:val="00531FFA"/>
    <w:rsid w:val="00532B35"/>
    <w:rsid w:val="00533C8D"/>
    <w:rsid w:val="00534B28"/>
    <w:rsid w:val="00535837"/>
    <w:rsid w:val="0053765D"/>
    <w:rsid w:val="00540D3E"/>
    <w:rsid w:val="00540E65"/>
    <w:rsid w:val="005452B8"/>
    <w:rsid w:val="00545BFB"/>
    <w:rsid w:val="005461E7"/>
    <w:rsid w:val="0055045D"/>
    <w:rsid w:val="005513C8"/>
    <w:rsid w:val="00551532"/>
    <w:rsid w:val="005517E6"/>
    <w:rsid w:val="005524BC"/>
    <w:rsid w:val="00554CA8"/>
    <w:rsid w:val="0055577A"/>
    <w:rsid w:val="005564AF"/>
    <w:rsid w:val="00556BE6"/>
    <w:rsid w:val="00557952"/>
    <w:rsid w:val="00557D16"/>
    <w:rsid w:val="00560EEC"/>
    <w:rsid w:val="0056140C"/>
    <w:rsid w:val="0056202C"/>
    <w:rsid w:val="0056254B"/>
    <w:rsid w:val="00563C26"/>
    <w:rsid w:val="00564FF6"/>
    <w:rsid w:val="0056694F"/>
    <w:rsid w:val="00566E3C"/>
    <w:rsid w:val="00567277"/>
    <w:rsid w:val="005712B9"/>
    <w:rsid w:val="005728B7"/>
    <w:rsid w:val="00572FE2"/>
    <w:rsid w:val="00573B1B"/>
    <w:rsid w:val="00573C41"/>
    <w:rsid w:val="00574763"/>
    <w:rsid w:val="005752A6"/>
    <w:rsid w:val="0057584B"/>
    <w:rsid w:val="005758A6"/>
    <w:rsid w:val="00575942"/>
    <w:rsid w:val="00576D03"/>
    <w:rsid w:val="00576E09"/>
    <w:rsid w:val="0057704D"/>
    <w:rsid w:val="0057705E"/>
    <w:rsid w:val="005807EA"/>
    <w:rsid w:val="005818A5"/>
    <w:rsid w:val="00581B01"/>
    <w:rsid w:val="00582B96"/>
    <w:rsid w:val="00582EE3"/>
    <w:rsid w:val="005835DB"/>
    <w:rsid w:val="00583ED2"/>
    <w:rsid w:val="005868E0"/>
    <w:rsid w:val="00590F72"/>
    <w:rsid w:val="0059416D"/>
    <w:rsid w:val="00597954"/>
    <w:rsid w:val="005A01C3"/>
    <w:rsid w:val="005A3350"/>
    <w:rsid w:val="005A4B39"/>
    <w:rsid w:val="005A56EA"/>
    <w:rsid w:val="005A576F"/>
    <w:rsid w:val="005A67B6"/>
    <w:rsid w:val="005A74D1"/>
    <w:rsid w:val="005A776F"/>
    <w:rsid w:val="005B15B3"/>
    <w:rsid w:val="005B2A00"/>
    <w:rsid w:val="005C026B"/>
    <w:rsid w:val="005C2B50"/>
    <w:rsid w:val="005C2C78"/>
    <w:rsid w:val="005C4E67"/>
    <w:rsid w:val="005C4E68"/>
    <w:rsid w:val="005C5971"/>
    <w:rsid w:val="005D143F"/>
    <w:rsid w:val="005D3A97"/>
    <w:rsid w:val="005D5CDB"/>
    <w:rsid w:val="005D7C57"/>
    <w:rsid w:val="005E2F93"/>
    <w:rsid w:val="005E3A30"/>
    <w:rsid w:val="005E5031"/>
    <w:rsid w:val="005E60FC"/>
    <w:rsid w:val="005F1E8B"/>
    <w:rsid w:val="005F217F"/>
    <w:rsid w:val="005F2A90"/>
    <w:rsid w:val="005F32BA"/>
    <w:rsid w:val="005F334A"/>
    <w:rsid w:val="005F3501"/>
    <w:rsid w:val="005F3BCD"/>
    <w:rsid w:val="005F51B9"/>
    <w:rsid w:val="005F590C"/>
    <w:rsid w:val="005F5A52"/>
    <w:rsid w:val="005F5AA4"/>
    <w:rsid w:val="006007BD"/>
    <w:rsid w:val="006011B1"/>
    <w:rsid w:val="006026BA"/>
    <w:rsid w:val="00604546"/>
    <w:rsid w:val="00604F80"/>
    <w:rsid w:val="00605BEC"/>
    <w:rsid w:val="00606172"/>
    <w:rsid w:val="00607A35"/>
    <w:rsid w:val="00611A67"/>
    <w:rsid w:val="00611D4F"/>
    <w:rsid w:val="00613CBB"/>
    <w:rsid w:val="006153BC"/>
    <w:rsid w:val="0061760D"/>
    <w:rsid w:val="00617F7B"/>
    <w:rsid w:val="00620555"/>
    <w:rsid w:val="00624A5F"/>
    <w:rsid w:val="006262D1"/>
    <w:rsid w:val="00626D77"/>
    <w:rsid w:val="00630A30"/>
    <w:rsid w:val="006325E9"/>
    <w:rsid w:val="00632DFF"/>
    <w:rsid w:val="006341FE"/>
    <w:rsid w:val="0063594C"/>
    <w:rsid w:val="006372A0"/>
    <w:rsid w:val="0063744A"/>
    <w:rsid w:val="006378E0"/>
    <w:rsid w:val="006379DA"/>
    <w:rsid w:val="00640D21"/>
    <w:rsid w:val="00643F2E"/>
    <w:rsid w:val="00644999"/>
    <w:rsid w:val="00645249"/>
    <w:rsid w:val="006462B3"/>
    <w:rsid w:val="00646B73"/>
    <w:rsid w:val="0064767A"/>
    <w:rsid w:val="006479A6"/>
    <w:rsid w:val="00647BFC"/>
    <w:rsid w:val="00652EE5"/>
    <w:rsid w:val="00654377"/>
    <w:rsid w:val="00654729"/>
    <w:rsid w:val="00654740"/>
    <w:rsid w:val="00657B23"/>
    <w:rsid w:val="00657DB1"/>
    <w:rsid w:val="00660994"/>
    <w:rsid w:val="00660BC6"/>
    <w:rsid w:val="00660FCF"/>
    <w:rsid w:val="006610E9"/>
    <w:rsid w:val="006628FF"/>
    <w:rsid w:val="00663AAC"/>
    <w:rsid w:val="0066416C"/>
    <w:rsid w:val="00664CB5"/>
    <w:rsid w:val="0066586F"/>
    <w:rsid w:val="00666337"/>
    <w:rsid w:val="00670680"/>
    <w:rsid w:val="0067337B"/>
    <w:rsid w:val="00674F3E"/>
    <w:rsid w:val="00680A89"/>
    <w:rsid w:val="00680E7C"/>
    <w:rsid w:val="006815AC"/>
    <w:rsid w:val="00682672"/>
    <w:rsid w:val="00684555"/>
    <w:rsid w:val="0068577C"/>
    <w:rsid w:val="00690340"/>
    <w:rsid w:val="00690748"/>
    <w:rsid w:val="00690DA3"/>
    <w:rsid w:val="00691516"/>
    <w:rsid w:val="0069454D"/>
    <w:rsid w:val="00694E40"/>
    <w:rsid w:val="006970D8"/>
    <w:rsid w:val="006A0664"/>
    <w:rsid w:val="006A0688"/>
    <w:rsid w:val="006A0EED"/>
    <w:rsid w:val="006A1A3A"/>
    <w:rsid w:val="006A1CC2"/>
    <w:rsid w:val="006A67C9"/>
    <w:rsid w:val="006B2FA6"/>
    <w:rsid w:val="006C4B25"/>
    <w:rsid w:val="006C4DFA"/>
    <w:rsid w:val="006C5779"/>
    <w:rsid w:val="006C789B"/>
    <w:rsid w:val="006D1058"/>
    <w:rsid w:val="006D20C9"/>
    <w:rsid w:val="006D2163"/>
    <w:rsid w:val="006D33A5"/>
    <w:rsid w:val="006D4E35"/>
    <w:rsid w:val="006D5CDC"/>
    <w:rsid w:val="006D6B1C"/>
    <w:rsid w:val="006E1B03"/>
    <w:rsid w:val="006E1FB2"/>
    <w:rsid w:val="006E22C2"/>
    <w:rsid w:val="006E4D18"/>
    <w:rsid w:val="006E5206"/>
    <w:rsid w:val="006E5B1C"/>
    <w:rsid w:val="006F1180"/>
    <w:rsid w:val="006F14FD"/>
    <w:rsid w:val="006F19E9"/>
    <w:rsid w:val="006F24E1"/>
    <w:rsid w:val="006F3A69"/>
    <w:rsid w:val="006F5857"/>
    <w:rsid w:val="006F6EE1"/>
    <w:rsid w:val="006F7226"/>
    <w:rsid w:val="006F7CD4"/>
    <w:rsid w:val="00701304"/>
    <w:rsid w:val="007016F0"/>
    <w:rsid w:val="00702AA6"/>
    <w:rsid w:val="00702BF8"/>
    <w:rsid w:val="00703B1A"/>
    <w:rsid w:val="00705E23"/>
    <w:rsid w:val="00711947"/>
    <w:rsid w:val="00711CCD"/>
    <w:rsid w:val="00712923"/>
    <w:rsid w:val="0071417C"/>
    <w:rsid w:val="00715978"/>
    <w:rsid w:val="00715D18"/>
    <w:rsid w:val="00716EFA"/>
    <w:rsid w:val="00721C1E"/>
    <w:rsid w:val="00722EAD"/>
    <w:rsid w:val="007238A7"/>
    <w:rsid w:val="00727505"/>
    <w:rsid w:val="007306E4"/>
    <w:rsid w:val="00731DE5"/>
    <w:rsid w:val="00732291"/>
    <w:rsid w:val="007329D5"/>
    <w:rsid w:val="00735482"/>
    <w:rsid w:val="007361B9"/>
    <w:rsid w:val="00736F64"/>
    <w:rsid w:val="00737A01"/>
    <w:rsid w:val="007415D1"/>
    <w:rsid w:val="007418F2"/>
    <w:rsid w:val="00741B54"/>
    <w:rsid w:val="00743977"/>
    <w:rsid w:val="007439B4"/>
    <w:rsid w:val="0074451D"/>
    <w:rsid w:val="00744B62"/>
    <w:rsid w:val="007451A8"/>
    <w:rsid w:val="007452C8"/>
    <w:rsid w:val="00745761"/>
    <w:rsid w:val="0075070E"/>
    <w:rsid w:val="00752C62"/>
    <w:rsid w:val="00753AD7"/>
    <w:rsid w:val="0075468E"/>
    <w:rsid w:val="00754DE1"/>
    <w:rsid w:val="00755D24"/>
    <w:rsid w:val="00755EE1"/>
    <w:rsid w:val="00755FFC"/>
    <w:rsid w:val="00756510"/>
    <w:rsid w:val="007604B8"/>
    <w:rsid w:val="00762CA3"/>
    <w:rsid w:val="0076330E"/>
    <w:rsid w:val="00764900"/>
    <w:rsid w:val="007649C0"/>
    <w:rsid w:val="00765245"/>
    <w:rsid w:val="0076783F"/>
    <w:rsid w:val="00770E58"/>
    <w:rsid w:val="00770E59"/>
    <w:rsid w:val="0077135A"/>
    <w:rsid w:val="00773893"/>
    <w:rsid w:val="00774D72"/>
    <w:rsid w:val="007763FD"/>
    <w:rsid w:val="00777C64"/>
    <w:rsid w:val="00780EFB"/>
    <w:rsid w:val="00781C2C"/>
    <w:rsid w:val="0078212E"/>
    <w:rsid w:val="00782361"/>
    <w:rsid w:val="00784280"/>
    <w:rsid w:val="00787DAE"/>
    <w:rsid w:val="00791513"/>
    <w:rsid w:val="00792F11"/>
    <w:rsid w:val="00793169"/>
    <w:rsid w:val="00794C92"/>
    <w:rsid w:val="00795283"/>
    <w:rsid w:val="00796829"/>
    <w:rsid w:val="007A03B0"/>
    <w:rsid w:val="007A33BD"/>
    <w:rsid w:val="007A48B5"/>
    <w:rsid w:val="007A60A2"/>
    <w:rsid w:val="007B3407"/>
    <w:rsid w:val="007B53B1"/>
    <w:rsid w:val="007B5B86"/>
    <w:rsid w:val="007C0544"/>
    <w:rsid w:val="007C22D8"/>
    <w:rsid w:val="007C46F8"/>
    <w:rsid w:val="007C7D34"/>
    <w:rsid w:val="007D0549"/>
    <w:rsid w:val="007D23C4"/>
    <w:rsid w:val="007D23DA"/>
    <w:rsid w:val="007D360A"/>
    <w:rsid w:val="007D5189"/>
    <w:rsid w:val="007D51B4"/>
    <w:rsid w:val="007D6308"/>
    <w:rsid w:val="007D7C1B"/>
    <w:rsid w:val="007E0534"/>
    <w:rsid w:val="007E1F5B"/>
    <w:rsid w:val="007E221B"/>
    <w:rsid w:val="007E34B3"/>
    <w:rsid w:val="007E56F9"/>
    <w:rsid w:val="007E6754"/>
    <w:rsid w:val="007F14F0"/>
    <w:rsid w:val="007F180E"/>
    <w:rsid w:val="007F24D0"/>
    <w:rsid w:val="007F25E2"/>
    <w:rsid w:val="007F41CB"/>
    <w:rsid w:val="007F5F80"/>
    <w:rsid w:val="007F6F53"/>
    <w:rsid w:val="007F7A9D"/>
    <w:rsid w:val="007F7CBD"/>
    <w:rsid w:val="00800806"/>
    <w:rsid w:val="00800D79"/>
    <w:rsid w:val="008018E9"/>
    <w:rsid w:val="00801D6F"/>
    <w:rsid w:val="00801E16"/>
    <w:rsid w:val="00803255"/>
    <w:rsid w:val="00804BD2"/>
    <w:rsid w:val="00804FD4"/>
    <w:rsid w:val="00807DAB"/>
    <w:rsid w:val="0081145F"/>
    <w:rsid w:val="00814522"/>
    <w:rsid w:val="00814B2A"/>
    <w:rsid w:val="00815412"/>
    <w:rsid w:val="00815FF2"/>
    <w:rsid w:val="008168A2"/>
    <w:rsid w:val="00817B84"/>
    <w:rsid w:val="00820E98"/>
    <w:rsid w:val="00821633"/>
    <w:rsid w:val="00821E2E"/>
    <w:rsid w:val="00822C0C"/>
    <w:rsid w:val="00824193"/>
    <w:rsid w:val="0082421B"/>
    <w:rsid w:val="00825517"/>
    <w:rsid w:val="0082585C"/>
    <w:rsid w:val="00825F07"/>
    <w:rsid w:val="00826B09"/>
    <w:rsid w:val="00826B49"/>
    <w:rsid w:val="00830160"/>
    <w:rsid w:val="00831120"/>
    <w:rsid w:val="00831D5E"/>
    <w:rsid w:val="00832739"/>
    <w:rsid w:val="00834272"/>
    <w:rsid w:val="008342E6"/>
    <w:rsid w:val="0083464D"/>
    <w:rsid w:val="00835B1E"/>
    <w:rsid w:val="008366FA"/>
    <w:rsid w:val="00836D00"/>
    <w:rsid w:val="008377A2"/>
    <w:rsid w:val="00837944"/>
    <w:rsid w:val="008407D0"/>
    <w:rsid w:val="008424B8"/>
    <w:rsid w:val="00842F28"/>
    <w:rsid w:val="00843D46"/>
    <w:rsid w:val="008446FF"/>
    <w:rsid w:val="00844A5E"/>
    <w:rsid w:val="00844F17"/>
    <w:rsid w:val="0084528E"/>
    <w:rsid w:val="00846E62"/>
    <w:rsid w:val="00851E8C"/>
    <w:rsid w:val="00853FAB"/>
    <w:rsid w:val="00854F3F"/>
    <w:rsid w:val="00855705"/>
    <w:rsid w:val="008568D2"/>
    <w:rsid w:val="00857055"/>
    <w:rsid w:val="0085753C"/>
    <w:rsid w:val="00860F0A"/>
    <w:rsid w:val="0086116D"/>
    <w:rsid w:val="00863603"/>
    <w:rsid w:val="0086467F"/>
    <w:rsid w:val="00865866"/>
    <w:rsid w:val="00870DA5"/>
    <w:rsid w:val="0087199E"/>
    <w:rsid w:val="0087275E"/>
    <w:rsid w:val="00875D35"/>
    <w:rsid w:val="00876D5F"/>
    <w:rsid w:val="00877211"/>
    <w:rsid w:val="00877B64"/>
    <w:rsid w:val="00880091"/>
    <w:rsid w:val="008802A6"/>
    <w:rsid w:val="00880B09"/>
    <w:rsid w:val="00881BE4"/>
    <w:rsid w:val="0088250D"/>
    <w:rsid w:val="008826BE"/>
    <w:rsid w:val="00883C44"/>
    <w:rsid w:val="008850E9"/>
    <w:rsid w:val="0088585B"/>
    <w:rsid w:val="00885CC2"/>
    <w:rsid w:val="0088644F"/>
    <w:rsid w:val="00886AF1"/>
    <w:rsid w:val="00886F2F"/>
    <w:rsid w:val="00890EF5"/>
    <w:rsid w:val="00891172"/>
    <w:rsid w:val="00891B3F"/>
    <w:rsid w:val="00891DA4"/>
    <w:rsid w:val="00893151"/>
    <w:rsid w:val="00894F38"/>
    <w:rsid w:val="008965FB"/>
    <w:rsid w:val="00896AB3"/>
    <w:rsid w:val="008974A7"/>
    <w:rsid w:val="0089794E"/>
    <w:rsid w:val="008A0B65"/>
    <w:rsid w:val="008A0BAC"/>
    <w:rsid w:val="008A41B8"/>
    <w:rsid w:val="008A45D7"/>
    <w:rsid w:val="008B0A9A"/>
    <w:rsid w:val="008B146D"/>
    <w:rsid w:val="008B16BA"/>
    <w:rsid w:val="008B3017"/>
    <w:rsid w:val="008B4A7A"/>
    <w:rsid w:val="008B5CD2"/>
    <w:rsid w:val="008B6FD0"/>
    <w:rsid w:val="008B71E1"/>
    <w:rsid w:val="008B7808"/>
    <w:rsid w:val="008C044E"/>
    <w:rsid w:val="008C0B9A"/>
    <w:rsid w:val="008C19E0"/>
    <w:rsid w:val="008C1E4A"/>
    <w:rsid w:val="008C2104"/>
    <w:rsid w:val="008C2675"/>
    <w:rsid w:val="008C299C"/>
    <w:rsid w:val="008C646D"/>
    <w:rsid w:val="008C756C"/>
    <w:rsid w:val="008C7FA8"/>
    <w:rsid w:val="008C7FBE"/>
    <w:rsid w:val="008D5BE5"/>
    <w:rsid w:val="008D6FB0"/>
    <w:rsid w:val="008D74CB"/>
    <w:rsid w:val="008E0699"/>
    <w:rsid w:val="008E09EA"/>
    <w:rsid w:val="008E0A00"/>
    <w:rsid w:val="008E2BA4"/>
    <w:rsid w:val="008E3166"/>
    <w:rsid w:val="008E37F4"/>
    <w:rsid w:val="008E4511"/>
    <w:rsid w:val="008E7EF3"/>
    <w:rsid w:val="008F3748"/>
    <w:rsid w:val="008F4B87"/>
    <w:rsid w:val="008F72B0"/>
    <w:rsid w:val="008F7F63"/>
    <w:rsid w:val="0090019F"/>
    <w:rsid w:val="00900ABC"/>
    <w:rsid w:val="00900F96"/>
    <w:rsid w:val="00901434"/>
    <w:rsid w:val="0090258F"/>
    <w:rsid w:val="009030EB"/>
    <w:rsid w:val="0090378F"/>
    <w:rsid w:val="00903DD5"/>
    <w:rsid w:val="00904365"/>
    <w:rsid w:val="00906666"/>
    <w:rsid w:val="009066AD"/>
    <w:rsid w:val="009069F0"/>
    <w:rsid w:val="00907353"/>
    <w:rsid w:val="00911127"/>
    <w:rsid w:val="00912E22"/>
    <w:rsid w:val="00913C46"/>
    <w:rsid w:val="009140C1"/>
    <w:rsid w:val="009147F5"/>
    <w:rsid w:val="00916AED"/>
    <w:rsid w:val="00916C11"/>
    <w:rsid w:val="00916E13"/>
    <w:rsid w:val="00920DFC"/>
    <w:rsid w:val="009212B5"/>
    <w:rsid w:val="009225AB"/>
    <w:rsid w:val="00922767"/>
    <w:rsid w:val="009233C3"/>
    <w:rsid w:val="00923EFB"/>
    <w:rsid w:val="00925EB1"/>
    <w:rsid w:val="00931F68"/>
    <w:rsid w:val="00934DA1"/>
    <w:rsid w:val="0093599B"/>
    <w:rsid w:val="00936947"/>
    <w:rsid w:val="009372E2"/>
    <w:rsid w:val="009400E8"/>
    <w:rsid w:val="00940268"/>
    <w:rsid w:val="00940A90"/>
    <w:rsid w:val="0094131D"/>
    <w:rsid w:val="00942B81"/>
    <w:rsid w:val="00942FB0"/>
    <w:rsid w:val="00944102"/>
    <w:rsid w:val="00944DAB"/>
    <w:rsid w:val="0094545F"/>
    <w:rsid w:val="00951FED"/>
    <w:rsid w:val="00952CBF"/>
    <w:rsid w:val="00952FC9"/>
    <w:rsid w:val="00954119"/>
    <w:rsid w:val="00960194"/>
    <w:rsid w:val="009609DB"/>
    <w:rsid w:val="00960BE6"/>
    <w:rsid w:val="009631FC"/>
    <w:rsid w:val="009702EF"/>
    <w:rsid w:val="00971658"/>
    <w:rsid w:val="009719A4"/>
    <w:rsid w:val="009721D9"/>
    <w:rsid w:val="00972A21"/>
    <w:rsid w:val="00973317"/>
    <w:rsid w:val="00974860"/>
    <w:rsid w:val="00974F7B"/>
    <w:rsid w:val="009753B5"/>
    <w:rsid w:val="009754E2"/>
    <w:rsid w:val="00977AA4"/>
    <w:rsid w:val="00980B55"/>
    <w:rsid w:val="00980D42"/>
    <w:rsid w:val="009811C8"/>
    <w:rsid w:val="00982C42"/>
    <w:rsid w:val="0098344C"/>
    <w:rsid w:val="00986DC0"/>
    <w:rsid w:val="009902ED"/>
    <w:rsid w:val="00990A64"/>
    <w:rsid w:val="00991017"/>
    <w:rsid w:val="00994150"/>
    <w:rsid w:val="0099624E"/>
    <w:rsid w:val="009A0A0F"/>
    <w:rsid w:val="009A25AB"/>
    <w:rsid w:val="009A27A4"/>
    <w:rsid w:val="009A290B"/>
    <w:rsid w:val="009A5622"/>
    <w:rsid w:val="009A63D0"/>
    <w:rsid w:val="009A64F9"/>
    <w:rsid w:val="009B06ED"/>
    <w:rsid w:val="009B08CD"/>
    <w:rsid w:val="009B1147"/>
    <w:rsid w:val="009B34A2"/>
    <w:rsid w:val="009B3EC9"/>
    <w:rsid w:val="009C0CF8"/>
    <w:rsid w:val="009C0D02"/>
    <w:rsid w:val="009C2712"/>
    <w:rsid w:val="009C3818"/>
    <w:rsid w:val="009C3E7F"/>
    <w:rsid w:val="009C41DA"/>
    <w:rsid w:val="009C51F6"/>
    <w:rsid w:val="009C55C9"/>
    <w:rsid w:val="009C5B2F"/>
    <w:rsid w:val="009C716F"/>
    <w:rsid w:val="009D0668"/>
    <w:rsid w:val="009D1A25"/>
    <w:rsid w:val="009D5518"/>
    <w:rsid w:val="009D59D4"/>
    <w:rsid w:val="009D69E3"/>
    <w:rsid w:val="009D6D58"/>
    <w:rsid w:val="009E0469"/>
    <w:rsid w:val="009E23D5"/>
    <w:rsid w:val="009E7000"/>
    <w:rsid w:val="009F2B45"/>
    <w:rsid w:val="009F2B99"/>
    <w:rsid w:val="009F5030"/>
    <w:rsid w:val="009F53E5"/>
    <w:rsid w:val="009F55EE"/>
    <w:rsid w:val="009F589B"/>
    <w:rsid w:val="009F58D3"/>
    <w:rsid w:val="009F66D5"/>
    <w:rsid w:val="009F6B06"/>
    <w:rsid w:val="009F707A"/>
    <w:rsid w:val="00A005CB"/>
    <w:rsid w:val="00A01D4C"/>
    <w:rsid w:val="00A07870"/>
    <w:rsid w:val="00A11876"/>
    <w:rsid w:val="00A11ACB"/>
    <w:rsid w:val="00A11CD6"/>
    <w:rsid w:val="00A1284B"/>
    <w:rsid w:val="00A12A2F"/>
    <w:rsid w:val="00A1406A"/>
    <w:rsid w:val="00A14391"/>
    <w:rsid w:val="00A14BA8"/>
    <w:rsid w:val="00A14F6E"/>
    <w:rsid w:val="00A2032E"/>
    <w:rsid w:val="00A20E33"/>
    <w:rsid w:val="00A21F4F"/>
    <w:rsid w:val="00A23D4D"/>
    <w:rsid w:val="00A2526C"/>
    <w:rsid w:val="00A25344"/>
    <w:rsid w:val="00A2618D"/>
    <w:rsid w:val="00A267D7"/>
    <w:rsid w:val="00A27D63"/>
    <w:rsid w:val="00A3022D"/>
    <w:rsid w:val="00A30A12"/>
    <w:rsid w:val="00A310AA"/>
    <w:rsid w:val="00A31226"/>
    <w:rsid w:val="00A31443"/>
    <w:rsid w:val="00A34216"/>
    <w:rsid w:val="00A349A8"/>
    <w:rsid w:val="00A354BC"/>
    <w:rsid w:val="00A375DD"/>
    <w:rsid w:val="00A4129B"/>
    <w:rsid w:val="00A41ECF"/>
    <w:rsid w:val="00A438D3"/>
    <w:rsid w:val="00A43A6A"/>
    <w:rsid w:val="00A4602A"/>
    <w:rsid w:val="00A466C4"/>
    <w:rsid w:val="00A5023E"/>
    <w:rsid w:val="00A504A9"/>
    <w:rsid w:val="00A51748"/>
    <w:rsid w:val="00A5436F"/>
    <w:rsid w:val="00A56071"/>
    <w:rsid w:val="00A561A5"/>
    <w:rsid w:val="00A5760E"/>
    <w:rsid w:val="00A57CC7"/>
    <w:rsid w:val="00A609BA"/>
    <w:rsid w:val="00A63653"/>
    <w:rsid w:val="00A63840"/>
    <w:rsid w:val="00A644D3"/>
    <w:rsid w:val="00A64642"/>
    <w:rsid w:val="00A651BC"/>
    <w:rsid w:val="00A70561"/>
    <w:rsid w:val="00A70CBB"/>
    <w:rsid w:val="00A714C5"/>
    <w:rsid w:val="00A72FB8"/>
    <w:rsid w:val="00A731B3"/>
    <w:rsid w:val="00A7489A"/>
    <w:rsid w:val="00A7731B"/>
    <w:rsid w:val="00A807D2"/>
    <w:rsid w:val="00A80E3B"/>
    <w:rsid w:val="00A8128A"/>
    <w:rsid w:val="00A81A1E"/>
    <w:rsid w:val="00A82670"/>
    <w:rsid w:val="00A826AD"/>
    <w:rsid w:val="00A85C3B"/>
    <w:rsid w:val="00A86104"/>
    <w:rsid w:val="00A86509"/>
    <w:rsid w:val="00A8741A"/>
    <w:rsid w:val="00A91274"/>
    <w:rsid w:val="00A926C1"/>
    <w:rsid w:val="00A928A4"/>
    <w:rsid w:val="00A9308B"/>
    <w:rsid w:val="00A932BE"/>
    <w:rsid w:val="00A9617C"/>
    <w:rsid w:val="00A96307"/>
    <w:rsid w:val="00A97043"/>
    <w:rsid w:val="00AA00D0"/>
    <w:rsid w:val="00AA1A23"/>
    <w:rsid w:val="00AA2B61"/>
    <w:rsid w:val="00AA3071"/>
    <w:rsid w:val="00AA3A94"/>
    <w:rsid w:val="00AA5E2F"/>
    <w:rsid w:val="00AA79C2"/>
    <w:rsid w:val="00AA7F68"/>
    <w:rsid w:val="00AB00B5"/>
    <w:rsid w:val="00AB1689"/>
    <w:rsid w:val="00AB2FDB"/>
    <w:rsid w:val="00AB36D6"/>
    <w:rsid w:val="00AB4EA1"/>
    <w:rsid w:val="00AB7C31"/>
    <w:rsid w:val="00AC003D"/>
    <w:rsid w:val="00AC03C8"/>
    <w:rsid w:val="00AC0A9A"/>
    <w:rsid w:val="00AC0CE0"/>
    <w:rsid w:val="00AC244D"/>
    <w:rsid w:val="00AC2B80"/>
    <w:rsid w:val="00AC380F"/>
    <w:rsid w:val="00AC696D"/>
    <w:rsid w:val="00AC76DC"/>
    <w:rsid w:val="00AD25C7"/>
    <w:rsid w:val="00AD2C03"/>
    <w:rsid w:val="00AD3CB9"/>
    <w:rsid w:val="00AD62E4"/>
    <w:rsid w:val="00AD7275"/>
    <w:rsid w:val="00AD7E6F"/>
    <w:rsid w:val="00AE14AB"/>
    <w:rsid w:val="00AE1AF3"/>
    <w:rsid w:val="00AE37B9"/>
    <w:rsid w:val="00AE4699"/>
    <w:rsid w:val="00AE48D1"/>
    <w:rsid w:val="00AE6ABF"/>
    <w:rsid w:val="00AE7734"/>
    <w:rsid w:val="00AF0043"/>
    <w:rsid w:val="00AF0426"/>
    <w:rsid w:val="00AF05EE"/>
    <w:rsid w:val="00AF117C"/>
    <w:rsid w:val="00AF14C8"/>
    <w:rsid w:val="00AF40DD"/>
    <w:rsid w:val="00AF6774"/>
    <w:rsid w:val="00AF6F49"/>
    <w:rsid w:val="00B02251"/>
    <w:rsid w:val="00B04990"/>
    <w:rsid w:val="00B04E0A"/>
    <w:rsid w:val="00B06951"/>
    <w:rsid w:val="00B07C0B"/>
    <w:rsid w:val="00B106E7"/>
    <w:rsid w:val="00B11D8B"/>
    <w:rsid w:val="00B124DB"/>
    <w:rsid w:val="00B133B1"/>
    <w:rsid w:val="00B15BD6"/>
    <w:rsid w:val="00B15F0B"/>
    <w:rsid w:val="00B1726E"/>
    <w:rsid w:val="00B206FF"/>
    <w:rsid w:val="00B21882"/>
    <w:rsid w:val="00B21D65"/>
    <w:rsid w:val="00B22951"/>
    <w:rsid w:val="00B22E1F"/>
    <w:rsid w:val="00B2394B"/>
    <w:rsid w:val="00B252B4"/>
    <w:rsid w:val="00B252EC"/>
    <w:rsid w:val="00B26E28"/>
    <w:rsid w:val="00B30DA0"/>
    <w:rsid w:val="00B32EF0"/>
    <w:rsid w:val="00B35A8C"/>
    <w:rsid w:val="00B377D1"/>
    <w:rsid w:val="00B4025E"/>
    <w:rsid w:val="00B402BD"/>
    <w:rsid w:val="00B40CF8"/>
    <w:rsid w:val="00B42D9C"/>
    <w:rsid w:val="00B43846"/>
    <w:rsid w:val="00B43DFB"/>
    <w:rsid w:val="00B500CD"/>
    <w:rsid w:val="00B560BD"/>
    <w:rsid w:val="00B62722"/>
    <w:rsid w:val="00B62E84"/>
    <w:rsid w:val="00B63927"/>
    <w:rsid w:val="00B6696B"/>
    <w:rsid w:val="00B706BF"/>
    <w:rsid w:val="00B716CF"/>
    <w:rsid w:val="00B74F4D"/>
    <w:rsid w:val="00B754AD"/>
    <w:rsid w:val="00B763A1"/>
    <w:rsid w:val="00B7690F"/>
    <w:rsid w:val="00B81ACF"/>
    <w:rsid w:val="00B81E95"/>
    <w:rsid w:val="00B81F2A"/>
    <w:rsid w:val="00B85C4B"/>
    <w:rsid w:val="00B860A1"/>
    <w:rsid w:val="00B86A01"/>
    <w:rsid w:val="00B87113"/>
    <w:rsid w:val="00B90644"/>
    <w:rsid w:val="00B90A68"/>
    <w:rsid w:val="00B9204B"/>
    <w:rsid w:val="00B93134"/>
    <w:rsid w:val="00B93818"/>
    <w:rsid w:val="00B939D1"/>
    <w:rsid w:val="00B961DD"/>
    <w:rsid w:val="00B96517"/>
    <w:rsid w:val="00B96670"/>
    <w:rsid w:val="00BA05A7"/>
    <w:rsid w:val="00BA0949"/>
    <w:rsid w:val="00BA0A79"/>
    <w:rsid w:val="00BA1067"/>
    <w:rsid w:val="00BA2037"/>
    <w:rsid w:val="00BA2F9E"/>
    <w:rsid w:val="00BA3507"/>
    <w:rsid w:val="00BA4248"/>
    <w:rsid w:val="00BA7680"/>
    <w:rsid w:val="00BA78F4"/>
    <w:rsid w:val="00BB1002"/>
    <w:rsid w:val="00BB2423"/>
    <w:rsid w:val="00BB2571"/>
    <w:rsid w:val="00BB3AA6"/>
    <w:rsid w:val="00BB648C"/>
    <w:rsid w:val="00BB66C5"/>
    <w:rsid w:val="00BB6813"/>
    <w:rsid w:val="00BB7226"/>
    <w:rsid w:val="00BC0360"/>
    <w:rsid w:val="00BC0362"/>
    <w:rsid w:val="00BC3335"/>
    <w:rsid w:val="00BC42CC"/>
    <w:rsid w:val="00BC4930"/>
    <w:rsid w:val="00BC533C"/>
    <w:rsid w:val="00BC5661"/>
    <w:rsid w:val="00BC77FD"/>
    <w:rsid w:val="00BD08B4"/>
    <w:rsid w:val="00BD1202"/>
    <w:rsid w:val="00BD121B"/>
    <w:rsid w:val="00BD3ED3"/>
    <w:rsid w:val="00BD4DF2"/>
    <w:rsid w:val="00BD595B"/>
    <w:rsid w:val="00BE0533"/>
    <w:rsid w:val="00BE054C"/>
    <w:rsid w:val="00BE09CE"/>
    <w:rsid w:val="00BE34C9"/>
    <w:rsid w:val="00BE392F"/>
    <w:rsid w:val="00BE6969"/>
    <w:rsid w:val="00BF0D80"/>
    <w:rsid w:val="00BF2CAE"/>
    <w:rsid w:val="00BF3CB7"/>
    <w:rsid w:val="00BF4582"/>
    <w:rsid w:val="00BF4AD9"/>
    <w:rsid w:val="00BF762E"/>
    <w:rsid w:val="00C02090"/>
    <w:rsid w:val="00C055A6"/>
    <w:rsid w:val="00C0740A"/>
    <w:rsid w:val="00C10177"/>
    <w:rsid w:val="00C11494"/>
    <w:rsid w:val="00C12580"/>
    <w:rsid w:val="00C13A62"/>
    <w:rsid w:val="00C14239"/>
    <w:rsid w:val="00C149CF"/>
    <w:rsid w:val="00C14AED"/>
    <w:rsid w:val="00C17154"/>
    <w:rsid w:val="00C22255"/>
    <w:rsid w:val="00C22CBF"/>
    <w:rsid w:val="00C259DD"/>
    <w:rsid w:val="00C26F5E"/>
    <w:rsid w:val="00C27624"/>
    <w:rsid w:val="00C33851"/>
    <w:rsid w:val="00C33F05"/>
    <w:rsid w:val="00C355DC"/>
    <w:rsid w:val="00C358A9"/>
    <w:rsid w:val="00C364EE"/>
    <w:rsid w:val="00C36E1E"/>
    <w:rsid w:val="00C404C4"/>
    <w:rsid w:val="00C42CBF"/>
    <w:rsid w:val="00C4313C"/>
    <w:rsid w:val="00C43F63"/>
    <w:rsid w:val="00C44AA2"/>
    <w:rsid w:val="00C47C0E"/>
    <w:rsid w:val="00C504B8"/>
    <w:rsid w:val="00C50DBA"/>
    <w:rsid w:val="00C50E92"/>
    <w:rsid w:val="00C542DD"/>
    <w:rsid w:val="00C55DD1"/>
    <w:rsid w:val="00C56C1C"/>
    <w:rsid w:val="00C61CDF"/>
    <w:rsid w:val="00C6350D"/>
    <w:rsid w:val="00C651B0"/>
    <w:rsid w:val="00C65A7F"/>
    <w:rsid w:val="00C66323"/>
    <w:rsid w:val="00C66A01"/>
    <w:rsid w:val="00C66AF6"/>
    <w:rsid w:val="00C676F5"/>
    <w:rsid w:val="00C704BD"/>
    <w:rsid w:val="00C73941"/>
    <w:rsid w:val="00C73971"/>
    <w:rsid w:val="00C774AD"/>
    <w:rsid w:val="00C77F7E"/>
    <w:rsid w:val="00C80F6D"/>
    <w:rsid w:val="00C83603"/>
    <w:rsid w:val="00C8408C"/>
    <w:rsid w:val="00C872C5"/>
    <w:rsid w:val="00C8737A"/>
    <w:rsid w:val="00C90229"/>
    <w:rsid w:val="00C9127C"/>
    <w:rsid w:val="00C9292C"/>
    <w:rsid w:val="00C95506"/>
    <w:rsid w:val="00C95F8A"/>
    <w:rsid w:val="00C9760F"/>
    <w:rsid w:val="00C97F98"/>
    <w:rsid w:val="00CA0FA6"/>
    <w:rsid w:val="00CA1FA4"/>
    <w:rsid w:val="00CA2137"/>
    <w:rsid w:val="00CA230D"/>
    <w:rsid w:val="00CA2418"/>
    <w:rsid w:val="00CA5370"/>
    <w:rsid w:val="00CA5449"/>
    <w:rsid w:val="00CB3EB1"/>
    <w:rsid w:val="00CB64EE"/>
    <w:rsid w:val="00CB741F"/>
    <w:rsid w:val="00CB7D3A"/>
    <w:rsid w:val="00CC1EF9"/>
    <w:rsid w:val="00CC35F4"/>
    <w:rsid w:val="00CC3630"/>
    <w:rsid w:val="00CC7B9B"/>
    <w:rsid w:val="00CD0341"/>
    <w:rsid w:val="00CD53DF"/>
    <w:rsid w:val="00CD58C2"/>
    <w:rsid w:val="00CD6B00"/>
    <w:rsid w:val="00CE0E9A"/>
    <w:rsid w:val="00CE16CD"/>
    <w:rsid w:val="00CE2C5E"/>
    <w:rsid w:val="00CE3235"/>
    <w:rsid w:val="00CE3821"/>
    <w:rsid w:val="00CE4441"/>
    <w:rsid w:val="00CE5489"/>
    <w:rsid w:val="00CE56DE"/>
    <w:rsid w:val="00CE5F3F"/>
    <w:rsid w:val="00CE651A"/>
    <w:rsid w:val="00CE70CA"/>
    <w:rsid w:val="00CF0282"/>
    <w:rsid w:val="00CF0BA0"/>
    <w:rsid w:val="00CF1BD9"/>
    <w:rsid w:val="00CF26CF"/>
    <w:rsid w:val="00CF3817"/>
    <w:rsid w:val="00CF6AF4"/>
    <w:rsid w:val="00D01761"/>
    <w:rsid w:val="00D01C47"/>
    <w:rsid w:val="00D01C5A"/>
    <w:rsid w:val="00D049EC"/>
    <w:rsid w:val="00D04E32"/>
    <w:rsid w:val="00D05C04"/>
    <w:rsid w:val="00D06270"/>
    <w:rsid w:val="00D06690"/>
    <w:rsid w:val="00D12269"/>
    <w:rsid w:val="00D12AA0"/>
    <w:rsid w:val="00D148E1"/>
    <w:rsid w:val="00D14FD7"/>
    <w:rsid w:val="00D157DC"/>
    <w:rsid w:val="00D1618A"/>
    <w:rsid w:val="00D16CFC"/>
    <w:rsid w:val="00D17242"/>
    <w:rsid w:val="00D240E1"/>
    <w:rsid w:val="00D24642"/>
    <w:rsid w:val="00D2485A"/>
    <w:rsid w:val="00D2626B"/>
    <w:rsid w:val="00D31E14"/>
    <w:rsid w:val="00D325A0"/>
    <w:rsid w:val="00D32AB6"/>
    <w:rsid w:val="00D3488F"/>
    <w:rsid w:val="00D348DC"/>
    <w:rsid w:val="00D34E14"/>
    <w:rsid w:val="00D3689A"/>
    <w:rsid w:val="00D378BD"/>
    <w:rsid w:val="00D41233"/>
    <w:rsid w:val="00D4259D"/>
    <w:rsid w:val="00D4288B"/>
    <w:rsid w:val="00D42C85"/>
    <w:rsid w:val="00D42CA9"/>
    <w:rsid w:val="00D446DD"/>
    <w:rsid w:val="00D527B9"/>
    <w:rsid w:val="00D52D87"/>
    <w:rsid w:val="00D54B70"/>
    <w:rsid w:val="00D54C10"/>
    <w:rsid w:val="00D555C6"/>
    <w:rsid w:val="00D55BC3"/>
    <w:rsid w:val="00D563F9"/>
    <w:rsid w:val="00D564D4"/>
    <w:rsid w:val="00D60149"/>
    <w:rsid w:val="00D627DE"/>
    <w:rsid w:val="00D630BE"/>
    <w:rsid w:val="00D64550"/>
    <w:rsid w:val="00D64753"/>
    <w:rsid w:val="00D6483B"/>
    <w:rsid w:val="00D64886"/>
    <w:rsid w:val="00D650E4"/>
    <w:rsid w:val="00D6530C"/>
    <w:rsid w:val="00D65890"/>
    <w:rsid w:val="00D66EC8"/>
    <w:rsid w:val="00D66FE7"/>
    <w:rsid w:val="00D67CC6"/>
    <w:rsid w:val="00D727B2"/>
    <w:rsid w:val="00D7280E"/>
    <w:rsid w:val="00D73422"/>
    <w:rsid w:val="00D737C8"/>
    <w:rsid w:val="00D7381C"/>
    <w:rsid w:val="00D742BC"/>
    <w:rsid w:val="00D74752"/>
    <w:rsid w:val="00D75E27"/>
    <w:rsid w:val="00D764D2"/>
    <w:rsid w:val="00D80634"/>
    <w:rsid w:val="00D8102D"/>
    <w:rsid w:val="00D8202D"/>
    <w:rsid w:val="00D82A6B"/>
    <w:rsid w:val="00D82E7F"/>
    <w:rsid w:val="00D847A0"/>
    <w:rsid w:val="00D8555C"/>
    <w:rsid w:val="00D85B03"/>
    <w:rsid w:val="00D867D5"/>
    <w:rsid w:val="00D87A56"/>
    <w:rsid w:val="00D90B7C"/>
    <w:rsid w:val="00D91B2D"/>
    <w:rsid w:val="00D91B8E"/>
    <w:rsid w:val="00D922A3"/>
    <w:rsid w:val="00D928BF"/>
    <w:rsid w:val="00D94ABD"/>
    <w:rsid w:val="00D94EDB"/>
    <w:rsid w:val="00D9537D"/>
    <w:rsid w:val="00D95E9E"/>
    <w:rsid w:val="00D9695E"/>
    <w:rsid w:val="00D97128"/>
    <w:rsid w:val="00D979AC"/>
    <w:rsid w:val="00D97E19"/>
    <w:rsid w:val="00DA0C6C"/>
    <w:rsid w:val="00DA4118"/>
    <w:rsid w:val="00DA4985"/>
    <w:rsid w:val="00DA5E85"/>
    <w:rsid w:val="00DA703D"/>
    <w:rsid w:val="00DA7C86"/>
    <w:rsid w:val="00DB4485"/>
    <w:rsid w:val="00DB4A2F"/>
    <w:rsid w:val="00DC2191"/>
    <w:rsid w:val="00DC2512"/>
    <w:rsid w:val="00DC2A64"/>
    <w:rsid w:val="00DC6456"/>
    <w:rsid w:val="00DC6814"/>
    <w:rsid w:val="00DC6C81"/>
    <w:rsid w:val="00DC7B5B"/>
    <w:rsid w:val="00DD1865"/>
    <w:rsid w:val="00DD2692"/>
    <w:rsid w:val="00DD2786"/>
    <w:rsid w:val="00DD321C"/>
    <w:rsid w:val="00DD4320"/>
    <w:rsid w:val="00DD58E7"/>
    <w:rsid w:val="00DD6AC0"/>
    <w:rsid w:val="00DE0758"/>
    <w:rsid w:val="00DE1A9C"/>
    <w:rsid w:val="00DE2095"/>
    <w:rsid w:val="00DE2937"/>
    <w:rsid w:val="00DE2EEC"/>
    <w:rsid w:val="00DE547C"/>
    <w:rsid w:val="00DE57C7"/>
    <w:rsid w:val="00DE6026"/>
    <w:rsid w:val="00DE6429"/>
    <w:rsid w:val="00DF1398"/>
    <w:rsid w:val="00DF1414"/>
    <w:rsid w:val="00DF1C11"/>
    <w:rsid w:val="00DF348D"/>
    <w:rsid w:val="00DF3615"/>
    <w:rsid w:val="00E0039B"/>
    <w:rsid w:val="00E039EB"/>
    <w:rsid w:val="00E045CF"/>
    <w:rsid w:val="00E0477A"/>
    <w:rsid w:val="00E05922"/>
    <w:rsid w:val="00E07B06"/>
    <w:rsid w:val="00E146FC"/>
    <w:rsid w:val="00E17AD6"/>
    <w:rsid w:val="00E20CC3"/>
    <w:rsid w:val="00E212A7"/>
    <w:rsid w:val="00E21B32"/>
    <w:rsid w:val="00E222B7"/>
    <w:rsid w:val="00E2246E"/>
    <w:rsid w:val="00E224DE"/>
    <w:rsid w:val="00E225D1"/>
    <w:rsid w:val="00E22E54"/>
    <w:rsid w:val="00E24EF3"/>
    <w:rsid w:val="00E27087"/>
    <w:rsid w:val="00E30F65"/>
    <w:rsid w:val="00E3183F"/>
    <w:rsid w:val="00E3235F"/>
    <w:rsid w:val="00E32501"/>
    <w:rsid w:val="00E34F71"/>
    <w:rsid w:val="00E36B95"/>
    <w:rsid w:val="00E37057"/>
    <w:rsid w:val="00E37A67"/>
    <w:rsid w:val="00E410A9"/>
    <w:rsid w:val="00E41D27"/>
    <w:rsid w:val="00E420E8"/>
    <w:rsid w:val="00E43A7C"/>
    <w:rsid w:val="00E44465"/>
    <w:rsid w:val="00E46C97"/>
    <w:rsid w:val="00E47F46"/>
    <w:rsid w:val="00E50782"/>
    <w:rsid w:val="00E50CE2"/>
    <w:rsid w:val="00E53C7E"/>
    <w:rsid w:val="00E54DF1"/>
    <w:rsid w:val="00E576B5"/>
    <w:rsid w:val="00E607D9"/>
    <w:rsid w:val="00E60DD3"/>
    <w:rsid w:val="00E61574"/>
    <w:rsid w:val="00E61BED"/>
    <w:rsid w:val="00E61F73"/>
    <w:rsid w:val="00E622DE"/>
    <w:rsid w:val="00E62860"/>
    <w:rsid w:val="00E63D13"/>
    <w:rsid w:val="00E65D36"/>
    <w:rsid w:val="00E66592"/>
    <w:rsid w:val="00E706DD"/>
    <w:rsid w:val="00E70C96"/>
    <w:rsid w:val="00E7121F"/>
    <w:rsid w:val="00E72FA6"/>
    <w:rsid w:val="00E74DC0"/>
    <w:rsid w:val="00E80A2F"/>
    <w:rsid w:val="00E861C8"/>
    <w:rsid w:val="00E91434"/>
    <w:rsid w:val="00E91EAA"/>
    <w:rsid w:val="00E922AB"/>
    <w:rsid w:val="00E92EC4"/>
    <w:rsid w:val="00E9302B"/>
    <w:rsid w:val="00E930A5"/>
    <w:rsid w:val="00E93461"/>
    <w:rsid w:val="00E9583D"/>
    <w:rsid w:val="00E95FC4"/>
    <w:rsid w:val="00E97C89"/>
    <w:rsid w:val="00EA015F"/>
    <w:rsid w:val="00EA1D1F"/>
    <w:rsid w:val="00EA20D8"/>
    <w:rsid w:val="00EA34AF"/>
    <w:rsid w:val="00EA40A3"/>
    <w:rsid w:val="00EA497B"/>
    <w:rsid w:val="00EA5659"/>
    <w:rsid w:val="00EA59DC"/>
    <w:rsid w:val="00EA5C30"/>
    <w:rsid w:val="00EA5F88"/>
    <w:rsid w:val="00EA647A"/>
    <w:rsid w:val="00EB055E"/>
    <w:rsid w:val="00EB0F12"/>
    <w:rsid w:val="00EB1A77"/>
    <w:rsid w:val="00EB1BCB"/>
    <w:rsid w:val="00EB318E"/>
    <w:rsid w:val="00EB368C"/>
    <w:rsid w:val="00EB59D6"/>
    <w:rsid w:val="00EB7424"/>
    <w:rsid w:val="00EB77F9"/>
    <w:rsid w:val="00EC0B94"/>
    <w:rsid w:val="00EC4DB9"/>
    <w:rsid w:val="00EC7CF1"/>
    <w:rsid w:val="00ED2CDA"/>
    <w:rsid w:val="00ED384B"/>
    <w:rsid w:val="00ED5A4E"/>
    <w:rsid w:val="00EE059A"/>
    <w:rsid w:val="00EE0BE3"/>
    <w:rsid w:val="00EE18DE"/>
    <w:rsid w:val="00EE1C07"/>
    <w:rsid w:val="00EE39B5"/>
    <w:rsid w:val="00EE5663"/>
    <w:rsid w:val="00EE7951"/>
    <w:rsid w:val="00EF0C29"/>
    <w:rsid w:val="00EF1729"/>
    <w:rsid w:val="00EF1A5D"/>
    <w:rsid w:val="00EF272A"/>
    <w:rsid w:val="00EF2B4C"/>
    <w:rsid w:val="00EF3AD5"/>
    <w:rsid w:val="00EF4920"/>
    <w:rsid w:val="00EF6503"/>
    <w:rsid w:val="00EF6684"/>
    <w:rsid w:val="00EF6F17"/>
    <w:rsid w:val="00EF7996"/>
    <w:rsid w:val="00EF7A05"/>
    <w:rsid w:val="00F01B4C"/>
    <w:rsid w:val="00F0217D"/>
    <w:rsid w:val="00F03AE7"/>
    <w:rsid w:val="00F046AD"/>
    <w:rsid w:val="00F05A72"/>
    <w:rsid w:val="00F06C2C"/>
    <w:rsid w:val="00F071FE"/>
    <w:rsid w:val="00F10244"/>
    <w:rsid w:val="00F11C4F"/>
    <w:rsid w:val="00F12CA3"/>
    <w:rsid w:val="00F12D43"/>
    <w:rsid w:val="00F14209"/>
    <w:rsid w:val="00F15741"/>
    <w:rsid w:val="00F17FB6"/>
    <w:rsid w:val="00F20514"/>
    <w:rsid w:val="00F2139C"/>
    <w:rsid w:val="00F24357"/>
    <w:rsid w:val="00F248D6"/>
    <w:rsid w:val="00F24A55"/>
    <w:rsid w:val="00F25142"/>
    <w:rsid w:val="00F25639"/>
    <w:rsid w:val="00F2582A"/>
    <w:rsid w:val="00F262AB"/>
    <w:rsid w:val="00F27B5A"/>
    <w:rsid w:val="00F27CA5"/>
    <w:rsid w:val="00F3027F"/>
    <w:rsid w:val="00F30924"/>
    <w:rsid w:val="00F30D5A"/>
    <w:rsid w:val="00F32075"/>
    <w:rsid w:val="00F323A9"/>
    <w:rsid w:val="00F324EA"/>
    <w:rsid w:val="00F33865"/>
    <w:rsid w:val="00F3503D"/>
    <w:rsid w:val="00F351C5"/>
    <w:rsid w:val="00F3595F"/>
    <w:rsid w:val="00F375B9"/>
    <w:rsid w:val="00F40A4A"/>
    <w:rsid w:val="00F41400"/>
    <w:rsid w:val="00F430D4"/>
    <w:rsid w:val="00F44A57"/>
    <w:rsid w:val="00F44B03"/>
    <w:rsid w:val="00F50E0B"/>
    <w:rsid w:val="00F52877"/>
    <w:rsid w:val="00F53B50"/>
    <w:rsid w:val="00F54891"/>
    <w:rsid w:val="00F55540"/>
    <w:rsid w:val="00F57812"/>
    <w:rsid w:val="00F6362F"/>
    <w:rsid w:val="00F64411"/>
    <w:rsid w:val="00F64BB6"/>
    <w:rsid w:val="00F652C9"/>
    <w:rsid w:val="00F6605F"/>
    <w:rsid w:val="00F66313"/>
    <w:rsid w:val="00F67266"/>
    <w:rsid w:val="00F67666"/>
    <w:rsid w:val="00F67850"/>
    <w:rsid w:val="00F678B9"/>
    <w:rsid w:val="00F72262"/>
    <w:rsid w:val="00F73BFB"/>
    <w:rsid w:val="00F73E2E"/>
    <w:rsid w:val="00F73FE6"/>
    <w:rsid w:val="00F75B6C"/>
    <w:rsid w:val="00F75BE2"/>
    <w:rsid w:val="00F768FA"/>
    <w:rsid w:val="00F76DF6"/>
    <w:rsid w:val="00F776B8"/>
    <w:rsid w:val="00F80BAA"/>
    <w:rsid w:val="00F819B3"/>
    <w:rsid w:val="00F829E0"/>
    <w:rsid w:val="00F83749"/>
    <w:rsid w:val="00F83849"/>
    <w:rsid w:val="00F83F78"/>
    <w:rsid w:val="00F84993"/>
    <w:rsid w:val="00F855A4"/>
    <w:rsid w:val="00F86361"/>
    <w:rsid w:val="00F86F65"/>
    <w:rsid w:val="00F8745A"/>
    <w:rsid w:val="00F8785A"/>
    <w:rsid w:val="00F91CB3"/>
    <w:rsid w:val="00F91CD6"/>
    <w:rsid w:val="00F92208"/>
    <w:rsid w:val="00F924F6"/>
    <w:rsid w:val="00F926B6"/>
    <w:rsid w:val="00F930AA"/>
    <w:rsid w:val="00F93A1F"/>
    <w:rsid w:val="00F958E5"/>
    <w:rsid w:val="00F95FA1"/>
    <w:rsid w:val="00F96B89"/>
    <w:rsid w:val="00FA0DB0"/>
    <w:rsid w:val="00FA125E"/>
    <w:rsid w:val="00FA1911"/>
    <w:rsid w:val="00FA411B"/>
    <w:rsid w:val="00FA602C"/>
    <w:rsid w:val="00FA6EEB"/>
    <w:rsid w:val="00FA7631"/>
    <w:rsid w:val="00FB081B"/>
    <w:rsid w:val="00FB2D3F"/>
    <w:rsid w:val="00FB37A4"/>
    <w:rsid w:val="00FB6FBC"/>
    <w:rsid w:val="00FB7270"/>
    <w:rsid w:val="00FC0B63"/>
    <w:rsid w:val="00FC0F8D"/>
    <w:rsid w:val="00FC2174"/>
    <w:rsid w:val="00FC2E2F"/>
    <w:rsid w:val="00FC333E"/>
    <w:rsid w:val="00FC3CCA"/>
    <w:rsid w:val="00FC64A2"/>
    <w:rsid w:val="00FC6674"/>
    <w:rsid w:val="00FC7DCA"/>
    <w:rsid w:val="00FD1403"/>
    <w:rsid w:val="00FD2CD7"/>
    <w:rsid w:val="00FD3F6A"/>
    <w:rsid w:val="00FD434B"/>
    <w:rsid w:val="00FD4377"/>
    <w:rsid w:val="00FD44D4"/>
    <w:rsid w:val="00FD5E24"/>
    <w:rsid w:val="00FD6B63"/>
    <w:rsid w:val="00FD7C44"/>
    <w:rsid w:val="00FE0095"/>
    <w:rsid w:val="00FE26D5"/>
    <w:rsid w:val="00FE280C"/>
    <w:rsid w:val="00FE3385"/>
    <w:rsid w:val="00FE41EE"/>
    <w:rsid w:val="00FF1165"/>
    <w:rsid w:val="00FF153E"/>
    <w:rsid w:val="00FF49C8"/>
    <w:rsid w:val="00FF58DB"/>
    <w:rsid w:val="00FF6216"/>
    <w:rsid w:val="00FF7D35"/>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4C61B00"/>
  <w15:docId w15:val="{F3354F12-7C44-4609-B6B8-DB8E2C53C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zh-T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1406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752C6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next w:val="Normal"/>
    <w:link w:val="Heading4Char"/>
    <w:uiPriority w:val="9"/>
    <w:semiHidden/>
    <w:unhideWhenUsed/>
    <w:qFormat/>
    <w:rsid w:val="004C1A3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044DA"/>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5807EA"/>
    <w:rPr>
      <w:color w:val="0000FF"/>
      <w:u w:val="single"/>
    </w:rPr>
  </w:style>
  <w:style w:type="paragraph" w:customStyle="1" w:styleId="Default1">
    <w:name w:val="Default1"/>
    <w:basedOn w:val="Default"/>
    <w:next w:val="Default"/>
    <w:uiPriority w:val="99"/>
    <w:rsid w:val="00253361"/>
    <w:rPr>
      <w:color w:val="auto"/>
    </w:rPr>
  </w:style>
  <w:style w:type="paragraph" w:styleId="Header">
    <w:name w:val="header"/>
    <w:basedOn w:val="Normal"/>
    <w:link w:val="HeaderChar"/>
    <w:uiPriority w:val="99"/>
    <w:unhideWhenUsed/>
    <w:rsid w:val="00CA1FA4"/>
    <w:pPr>
      <w:tabs>
        <w:tab w:val="center" w:pos="4844"/>
        <w:tab w:val="right" w:pos="9689"/>
      </w:tabs>
      <w:spacing w:after="0" w:line="240" w:lineRule="auto"/>
    </w:pPr>
  </w:style>
  <w:style w:type="character" w:customStyle="1" w:styleId="HeaderChar">
    <w:name w:val="Header Char"/>
    <w:basedOn w:val="DefaultParagraphFont"/>
    <w:link w:val="Header"/>
    <w:uiPriority w:val="99"/>
    <w:rsid w:val="00CA1FA4"/>
  </w:style>
  <w:style w:type="paragraph" w:styleId="Footer">
    <w:name w:val="footer"/>
    <w:basedOn w:val="Normal"/>
    <w:link w:val="FooterChar"/>
    <w:unhideWhenUsed/>
    <w:rsid w:val="00CA1FA4"/>
    <w:pPr>
      <w:tabs>
        <w:tab w:val="center" w:pos="4844"/>
        <w:tab w:val="right" w:pos="9689"/>
      </w:tabs>
      <w:spacing w:after="0" w:line="240" w:lineRule="auto"/>
    </w:pPr>
  </w:style>
  <w:style w:type="character" w:customStyle="1" w:styleId="FooterChar">
    <w:name w:val="Footer Char"/>
    <w:basedOn w:val="DefaultParagraphFont"/>
    <w:link w:val="Footer"/>
    <w:rsid w:val="00CA1FA4"/>
  </w:style>
  <w:style w:type="paragraph" w:styleId="ListParagraph">
    <w:name w:val="List Paragraph"/>
    <w:basedOn w:val="Normal"/>
    <w:qFormat/>
    <w:rsid w:val="00B35A8C"/>
    <w:pPr>
      <w:ind w:left="720"/>
      <w:contextualSpacing/>
    </w:pPr>
  </w:style>
  <w:style w:type="paragraph" w:customStyle="1" w:styleId="3">
    <w:name w:val="3"/>
    <w:basedOn w:val="Normal"/>
    <w:rsid w:val="002A7A1D"/>
    <w:pPr>
      <w:suppressAutoHyphens/>
      <w:spacing w:after="0" w:line="240" w:lineRule="auto"/>
      <w:ind w:left="1260" w:hanging="720"/>
    </w:pPr>
    <w:rPr>
      <w:rFonts w:ascii="Arial" w:eastAsia="Times New Roman" w:hAnsi="Arial" w:cs="Arial"/>
      <w:sz w:val="24"/>
      <w:szCs w:val="24"/>
      <w:lang w:val="en-GB"/>
    </w:rPr>
  </w:style>
  <w:style w:type="paragraph" w:styleId="NoSpacing">
    <w:name w:val="No Spacing"/>
    <w:link w:val="NoSpacingChar"/>
    <w:uiPriority w:val="1"/>
    <w:qFormat/>
    <w:rsid w:val="00C055A6"/>
    <w:pPr>
      <w:spacing w:after="0" w:line="240" w:lineRule="auto"/>
    </w:pPr>
  </w:style>
  <w:style w:type="character" w:styleId="Strong">
    <w:name w:val="Strong"/>
    <w:basedOn w:val="DefaultParagraphFont"/>
    <w:uiPriority w:val="22"/>
    <w:qFormat/>
    <w:rsid w:val="00003B21"/>
    <w:rPr>
      <w:b/>
      <w:bCs/>
    </w:rPr>
  </w:style>
  <w:style w:type="paragraph" w:styleId="NormalWeb">
    <w:name w:val="Normal (Web)"/>
    <w:basedOn w:val="Normal"/>
    <w:uiPriority w:val="99"/>
    <w:unhideWhenUsed/>
    <w:rsid w:val="00003B2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03B21"/>
  </w:style>
  <w:style w:type="table" w:styleId="TableGrid">
    <w:name w:val="Table Grid"/>
    <w:basedOn w:val="TableNormal"/>
    <w:uiPriority w:val="59"/>
    <w:rsid w:val="009212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2750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7505"/>
    <w:rPr>
      <w:rFonts w:ascii="Tahoma" w:hAnsi="Tahoma" w:cs="Tahoma"/>
      <w:sz w:val="16"/>
      <w:szCs w:val="16"/>
    </w:rPr>
  </w:style>
  <w:style w:type="character" w:customStyle="1" w:styleId="Heading2Char">
    <w:name w:val="Heading 2 Char"/>
    <w:basedOn w:val="DefaultParagraphFont"/>
    <w:link w:val="Heading2"/>
    <w:uiPriority w:val="9"/>
    <w:rsid w:val="00752C62"/>
    <w:rPr>
      <w:rFonts w:ascii="Times New Roman" w:eastAsia="Times New Roman" w:hAnsi="Times New Roman" w:cs="Times New Roman"/>
      <w:b/>
      <w:bCs/>
      <w:sz w:val="36"/>
      <w:szCs w:val="36"/>
    </w:rPr>
  </w:style>
  <w:style w:type="character" w:customStyle="1" w:styleId="apple-style-span">
    <w:name w:val="apple-style-span"/>
    <w:basedOn w:val="DefaultParagraphFont"/>
    <w:rsid w:val="00952FC9"/>
  </w:style>
  <w:style w:type="paragraph" w:customStyle="1" w:styleId="Times">
    <w:name w:val="Times"/>
    <w:basedOn w:val="Normal"/>
    <w:rsid w:val="00B93818"/>
    <w:pPr>
      <w:numPr>
        <w:numId w:val="2"/>
      </w:numPr>
      <w:shd w:val="clear" w:color="auto" w:fill="FFFFFF"/>
      <w:spacing w:after="0" w:line="240" w:lineRule="auto"/>
      <w:textAlignment w:val="baseline"/>
    </w:pPr>
    <w:rPr>
      <w:rFonts w:ascii="inherit" w:eastAsia="Times New Roman" w:hAnsi="inherit" w:cs="Times New Roman"/>
      <w:color w:val="898989"/>
      <w:sz w:val="26"/>
      <w:szCs w:val="26"/>
      <w:lang w:val="it-IT"/>
    </w:rPr>
  </w:style>
  <w:style w:type="character" w:customStyle="1" w:styleId="Heading4Char">
    <w:name w:val="Heading 4 Char"/>
    <w:basedOn w:val="DefaultParagraphFont"/>
    <w:link w:val="Heading4"/>
    <w:uiPriority w:val="9"/>
    <w:semiHidden/>
    <w:rsid w:val="004C1A32"/>
    <w:rPr>
      <w:rFonts w:asciiTheme="majorHAnsi" w:eastAsiaTheme="majorEastAsia" w:hAnsiTheme="majorHAnsi" w:cstheme="majorBidi"/>
      <w:b/>
      <w:bCs/>
      <w:i/>
      <w:iCs/>
      <w:color w:val="4F81BD" w:themeColor="accent1"/>
    </w:rPr>
  </w:style>
  <w:style w:type="character" w:styleId="FollowedHyperlink">
    <w:name w:val="FollowedHyperlink"/>
    <w:basedOn w:val="DefaultParagraphFont"/>
    <w:uiPriority w:val="99"/>
    <w:semiHidden/>
    <w:unhideWhenUsed/>
    <w:rsid w:val="00735482"/>
    <w:rPr>
      <w:color w:val="800080" w:themeColor="followedHyperlink"/>
      <w:u w:val="single"/>
    </w:rPr>
  </w:style>
  <w:style w:type="paragraph" w:styleId="BodyTextIndent2">
    <w:name w:val="Body Text Indent 2"/>
    <w:basedOn w:val="Normal"/>
    <w:link w:val="BodyTextIndent2Char"/>
    <w:uiPriority w:val="99"/>
    <w:rsid w:val="0076783F"/>
    <w:pPr>
      <w:spacing w:after="0" w:line="240" w:lineRule="auto"/>
      <w:ind w:firstLine="851"/>
      <w:jc w:val="both"/>
    </w:pPr>
    <w:rPr>
      <w:rFonts w:ascii="Times New Roman" w:eastAsia="Times New Roman" w:hAnsi="Times New Roman" w:cs="Times New Roman"/>
      <w:sz w:val="28"/>
      <w:szCs w:val="20"/>
      <w:lang w:val="ro-RO" w:eastAsia="en-US"/>
    </w:rPr>
  </w:style>
  <w:style w:type="character" w:customStyle="1" w:styleId="BodyTextIndent2Char">
    <w:name w:val="Body Text Indent 2 Char"/>
    <w:basedOn w:val="DefaultParagraphFont"/>
    <w:link w:val="BodyTextIndent2"/>
    <w:uiPriority w:val="99"/>
    <w:rsid w:val="0076783F"/>
    <w:rPr>
      <w:rFonts w:ascii="Times New Roman" w:eastAsia="Times New Roman" w:hAnsi="Times New Roman" w:cs="Times New Roman"/>
      <w:sz w:val="28"/>
      <w:szCs w:val="20"/>
      <w:lang w:val="ro-RO" w:eastAsia="en-US"/>
    </w:rPr>
  </w:style>
  <w:style w:type="character" w:customStyle="1" w:styleId="Heading1Char">
    <w:name w:val="Heading 1 Char"/>
    <w:basedOn w:val="DefaultParagraphFont"/>
    <w:link w:val="Heading1"/>
    <w:rsid w:val="00A1406A"/>
    <w:rPr>
      <w:rFonts w:asciiTheme="majorHAnsi" w:eastAsiaTheme="majorEastAsia" w:hAnsiTheme="majorHAnsi" w:cstheme="majorBidi"/>
      <w:color w:val="365F91" w:themeColor="accent1" w:themeShade="BF"/>
      <w:sz w:val="32"/>
      <w:szCs w:val="32"/>
    </w:rPr>
  </w:style>
  <w:style w:type="character" w:customStyle="1" w:styleId="NoSpacingChar">
    <w:name w:val="No Spacing Char"/>
    <w:link w:val="NoSpacing"/>
    <w:uiPriority w:val="1"/>
    <w:rsid w:val="00A1406A"/>
  </w:style>
  <w:style w:type="paragraph" w:styleId="PlainText">
    <w:name w:val="Plain Text"/>
    <w:basedOn w:val="Normal"/>
    <w:link w:val="PlainTextChar"/>
    <w:uiPriority w:val="99"/>
    <w:unhideWhenUsed/>
    <w:rsid w:val="00492833"/>
    <w:pPr>
      <w:spacing w:after="0" w:line="240" w:lineRule="auto"/>
    </w:pPr>
    <w:rPr>
      <w:rFonts w:ascii="Calibri" w:eastAsiaTheme="minorHAnsi" w:hAnsi="Calibri"/>
      <w:szCs w:val="21"/>
      <w:lang w:val="ru-RU" w:eastAsia="en-US"/>
    </w:rPr>
  </w:style>
  <w:style w:type="character" w:customStyle="1" w:styleId="PlainTextChar">
    <w:name w:val="Plain Text Char"/>
    <w:basedOn w:val="DefaultParagraphFont"/>
    <w:link w:val="PlainText"/>
    <w:uiPriority w:val="99"/>
    <w:rsid w:val="00492833"/>
    <w:rPr>
      <w:rFonts w:ascii="Calibri" w:eastAsiaTheme="minorHAnsi" w:hAnsi="Calibri"/>
      <w:szCs w:val="21"/>
      <w:lang w:val="ru-RU" w:eastAsia="en-US"/>
    </w:rPr>
  </w:style>
  <w:style w:type="character" w:customStyle="1" w:styleId="tlid-translation">
    <w:name w:val="tlid-translation"/>
    <w:rsid w:val="00BC4930"/>
  </w:style>
  <w:style w:type="paragraph" w:styleId="BodyText">
    <w:name w:val="Body Text"/>
    <w:basedOn w:val="Normal"/>
    <w:link w:val="BodyTextChar"/>
    <w:uiPriority w:val="99"/>
    <w:unhideWhenUsed/>
    <w:rsid w:val="002102AE"/>
    <w:pPr>
      <w:spacing w:after="120"/>
    </w:pPr>
  </w:style>
  <w:style w:type="character" w:customStyle="1" w:styleId="BodyTextChar">
    <w:name w:val="Body Text Char"/>
    <w:basedOn w:val="DefaultParagraphFont"/>
    <w:link w:val="BodyText"/>
    <w:uiPriority w:val="99"/>
    <w:rsid w:val="002102AE"/>
  </w:style>
  <w:style w:type="character" w:customStyle="1" w:styleId="a">
    <w:name w:val="Нижний колонтитул Знак"/>
    <w:uiPriority w:val="99"/>
    <w:qFormat/>
    <w:rsid w:val="009C5B2F"/>
    <w:rPr>
      <w:rFonts w:ascii="Times New Roman" w:eastAsia="Times New Roman" w:hAnsi="Times New Roman" w:cs="Times New Roman"/>
      <w:sz w:val="24"/>
      <w:szCs w:val="24"/>
      <w:lang w:eastAsia="ru-RU"/>
    </w:rPr>
  </w:style>
  <w:style w:type="paragraph" w:styleId="BodyText2">
    <w:name w:val="Body Text 2"/>
    <w:basedOn w:val="Normal"/>
    <w:link w:val="BodyText2Char"/>
    <w:uiPriority w:val="99"/>
    <w:unhideWhenUsed/>
    <w:rsid w:val="00702AA6"/>
    <w:pPr>
      <w:spacing w:after="120" w:line="480" w:lineRule="auto"/>
    </w:pPr>
  </w:style>
  <w:style w:type="character" w:customStyle="1" w:styleId="BodyText2Char">
    <w:name w:val="Body Text 2 Char"/>
    <w:basedOn w:val="DefaultParagraphFont"/>
    <w:link w:val="BodyText2"/>
    <w:uiPriority w:val="99"/>
    <w:rsid w:val="00702A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25081">
      <w:bodyDiv w:val="1"/>
      <w:marLeft w:val="0"/>
      <w:marRight w:val="0"/>
      <w:marTop w:val="0"/>
      <w:marBottom w:val="0"/>
      <w:divBdr>
        <w:top w:val="none" w:sz="0" w:space="0" w:color="auto"/>
        <w:left w:val="none" w:sz="0" w:space="0" w:color="auto"/>
        <w:bottom w:val="none" w:sz="0" w:space="0" w:color="auto"/>
        <w:right w:val="none" w:sz="0" w:space="0" w:color="auto"/>
      </w:divBdr>
    </w:div>
    <w:div w:id="26571427">
      <w:bodyDiv w:val="1"/>
      <w:marLeft w:val="0"/>
      <w:marRight w:val="0"/>
      <w:marTop w:val="0"/>
      <w:marBottom w:val="0"/>
      <w:divBdr>
        <w:top w:val="none" w:sz="0" w:space="0" w:color="auto"/>
        <w:left w:val="none" w:sz="0" w:space="0" w:color="auto"/>
        <w:bottom w:val="none" w:sz="0" w:space="0" w:color="auto"/>
        <w:right w:val="none" w:sz="0" w:space="0" w:color="auto"/>
      </w:divBdr>
    </w:div>
    <w:div w:id="158932097">
      <w:bodyDiv w:val="1"/>
      <w:marLeft w:val="0"/>
      <w:marRight w:val="0"/>
      <w:marTop w:val="0"/>
      <w:marBottom w:val="0"/>
      <w:divBdr>
        <w:top w:val="none" w:sz="0" w:space="0" w:color="auto"/>
        <w:left w:val="none" w:sz="0" w:space="0" w:color="auto"/>
        <w:bottom w:val="none" w:sz="0" w:space="0" w:color="auto"/>
        <w:right w:val="none" w:sz="0" w:space="0" w:color="auto"/>
      </w:divBdr>
    </w:div>
    <w:div w:id="223563671">
      <w:bodyDiv w:val="1"/>
      <w:marLeft w:val="0"/>
      <w:marRight w:val="0"/>
      <w:marTop w:val="0"/>
      <w:marBottom w:val="0"/>
      <w:divBdr>
        <w:top w:val="none" w:sz="0" w:space="0" w:color="auto"/>
        <w:left w:val="none" w:sz="0" w:space="0" w:color="auto"/>
        <w:bottom w:val="none" w:sz="0" w:space="0" w:color="auto"/>
        <w:right w:val="none" w:sz="0" w:space="0" w:color="auto"/>
      </w:divBdr>
    </w:div>
    <w:div w:id="356202209">
      <w:bodyDiv w:val="1"/>
      <w:marLeft w:val="0"/>
      <w:marRight w:val="0"/>
      <w:marTop w:val="0"/>
      <w:marBottom w:val="0"/>
      <w:divBdr>
        <w:top w:val="none" w:sz="0" w:space="0" w:color="auto"/>
        <w:left w:val="none" w:sz="0" w:space="0" w:color="auto"/>
        <w:bottom w:val="none" w:sz="0" w:space="0" w:color="auto"/>
        <w:right w:val="none" w:sz="0" w:space="0" w:color="auto"/>
      </w:divBdr>
    </w:div>
    <w:div w:id="422804065">
      <w:bodyDiv w:val="1"/>
      <w:marLeft w:val="0"/>
      <w:marRight w:val="0"/>
      <w:marTop w:val="0"/>
      <w:marBottom w:val="0"/>
      <w:divBdr>
        <w:top w:val="none" w:sz="0" w:space="0" w:color="auto"/>
        <w:left w:val="none" w:sz="0" w:space="0" w:color="auto"/>
        <w:bottom w:val="none" w:sz="0" w:space="0" w:color="auto"/>
        <w:right w:val="none" w:sz="0" w:space="0" w:color="auto"/>
      </w:divBdr>
    </w:div>
    <w:div w:id="488331552">
      <w:bodyDiv w:val="1"/>
      <w:marLeft w:val="0"/>
      <w:marRight w:val="0"/>
      <w:marTop w:val="0"/>
      <w:marBottom w:val="0"/>
      <w:divBdr>
        <w:top w:val="none" w:sz="0" w:space="0" w:color="auto"/>
        <w:left w:val="none" w:sz="0" w:space="0" w:color="auto"/>
        <w:bottom w:val="none" w:sz="0" w:space="0" w:color="auto"/>
        <w:right w:val="none" w:sz="0" w:space="0" w:color="auto"/>
      </w:divBdr>
    </w:div>
    <w:div w:id="560948565">
      <w:bodyDiv w:val="1"/>
      <w:marLeft w:val="0"/>
      <w:marRight w:val="0"/>
      <w:marTop w:val="0"/>
      <w:marBottom w:val="0"/>
      <w:divBdr>
        <w:top w:val="none" w:sz="0" w:space="0" w:color="auto"/>
        <w:left w:val="none" w:sz="0" w:space="0" w:color="auto"/>
        <w:bottom w:val="none" w:sz="0" w:space="0" w:color="auto"/>
        <w:right w:val="none" w:sz="0" w:space="0" w:color="auto"/>
      </w:divBdr>
    </w:div>
    <w:div w:id="618295701">
      <w:bodyDiv w:val="1"/>
      <w:marLeft w:val="0"/>
      <w:marRight w:val="0"/>
      <w:marTop w:val="0"/>
      <w:marBottom w:val="0"/>
      <w:divBdr>
        <w:top w:val="none" w:sz="0" w:space="0" w:color="auto"/>
        <w:left w:val="none" w:sz="0" w:space="0" w:color="auto"/>
        <w:bottom w:val="none" w:sz="0" w:space="0" w:color="auto"/>
        <w:right w:val="none" w:sz="0" w:space="0" w:color="auto"/>
      </w:divBdr>
    </w:div>
    <w:div w:id="659768376">
      <w:bodyDiv w:val="1"/>
      <w:marLeft w:val="0"/>
      <w:marRight w:val="0"/>
      <w:marTop w:val="0"/>
      <w:marBottom w:val="0"/>
      <w:divBdr>
        <w:top w:val="none" w:sz="0" w:space="0" w:color="auto"/>
        <w:left w:val="none" w:sz="0" w:space="0" w:color="auto"/>
        <w:bottom w:val="none" w:sz="0" w:space="0" w:color="auto"/>
        <w:right w:val="none" w:sz="0" w:space="0" w:color="auto"/>
      </w:divBdr>
    </w:div>
    <w:div w:id="669257406">
      <w:bodyDiv w:val="1"/>
      <w:marLeft w:val="0"/>
      <w:marRight w:val="0"/>
      <w:marTop w:val="0"/>
      <w:marBottom w:val="0"/>
      <w:divBdr>
        <w:top w:val="none" w:sz="0" w:space="0" w:color="auto"/>
        <w:left w:val="none" w:sz="0" w:space="0" w:color="auto"/>
        <w:bottom w:val="none" w:sz="0" w:space="0" w:color="auto"/>
        <w:right w:val="none" w:sz="0" w:space="0" w:color="auto"/>
      </w:divBdr>
    </w:div>
    <w:div w:id="770466265">
      <w:bodyDiv w:val="1"/>
      <w:marLeft w:val="0"/>
      <w:marRight w:val="0"/>
      <w:marTop w:val="0"/>
      <w:marBottom w:val="0"/>
      <w:divBdr>
        <w:top w:val="none" w:sz="0" w:space="0" w:color="auto"/>
        <w:left w:val="none" w:sz="0" w:space="0" w:color="auto"/>
        <w:bottom w:val="none" w:sz="0" w:space="0" w:color="auto"/>
        <w:right w:val="none" w:sz="0" w:space="0" w:color="auto"/>
      </w:divBdr>
    </w:div>
    <w:div w:id="1083380537">
      <w:bodyDiv w:val="1"/>
      <w:marLeft w:val="0"/>
      <w:marRight w:val="0"/>
      <w:marTop w:val="0"/>
      <w:marBottom w:val="0"/>
      <w:divBdr>
        <w:top w:val="none" w:sz="0" w:space="0" w:color="auto"/>
        <w:left w:val="none" w:sz="0" w:space="0" w:color="auto"/>
        <w:bottom w:val="none" w:sz="0" w:space="0" w:color="auto"/>
        <w:right w:val="none" w:sz="0" w:space="0" w:color="auto"/>
      </w:divBdr>
    </w:div>
    <w:div w:id="1086266322">
      <w:bodyDiv w:val="1"/>
      <w:marLeft w:val="0"/>
      <w:marRight w:val="0"/>
      <w:marTop w:val="0"/>
      <w:marBottom w:val="0"/>
      <w:divBdr>
        <w:top w:val="none" w:sz="0" w:space="0" w:color="auto"/>
        <w:left w:val="none" w:sz="0" w:space="0" w:color="auto"/>
        <w:bottom w:val="none" w:sz="0" w:space="0" w:color="auto"/>
        <w:right w:val="none" w:sz="0" w:space="0" w:color="auto"/>
      </w:divBdr>
    </w:div>
    <w:div w:id="1102532140">
      <w:bodyDiv w:val="1"/>
      <w:marLeft w:val="0"/>
      <w:marRight w:val="0"/>
      <w:marTop w:val="0"/>
      <w:marBottom w:val="0"/>
      <w:divBdr>
        <w:top w:val="none" w:sz="0" w:space="0" w:color="auto"/>
        <w:left w:val="none" w:sz="0" w:space="0" w:color="auto"/>
        <w:bottom w:val="none" w:sz="0" w:space="0" w:color="auto"/>
        <w:right w:val="none" w:sz="0" w:space="0" w:color="auto"/>
      </w:divBdr>
    </w:div>
    <w:div w:id="1103577914">
      <w:bodyDiv w:val="1"/>
      <w:marLeft w:val="0"/>
      <w:marRight w:val="0"/>
      <w:marTop w:val="0"/>
      <w:marBottom w:val="0"/>
      <w:divBdr>
        <w:top w:val="none" w:sz="0" w:space="0" w:color="auto"/>
        <w:left w:val="none" w:sz="0" w:space="0" w:color="auto"/>
        <w:bottom w:val="none" w:sz="0" w:space="0" w:color="auto"/>
        <w:right w:val="none" w:sz="0" w:space="0" w:color="auto"/>
      </w:divBdr>
    </w:div>
    <w:div w:id="1108041440">
      <w:bodyDiv w:val="1"/>
      <w:marLeft w:val="0"/>
      <w:marRight w:val="0"/>
      <w:marTop w:val="0"/>
      <w:marBottom w:val="0"/>
      <w:divBdr>
        <w:top w:val="none" w:sz="0" w:space="0" w:color="auto"/>
        <w:left w:val="none" w:sz="0" w:space="0" w:color="auto"/>
        <w:bottom w:val="none" w:sz="0" w:space="0" w:color="auto"/>
        <w:right w:val="none" w:sz="0" w:space="0" w:color="auto"/>
      </w:divBdr>
    </w:div>
    <w:div w:id="1115635481">
      <w:bodyDiv w:val="1"/>
      <w:marLeft w:val="0"/>
      <w:marRight w:val="0"/>
      <w:marTop w:val="0"/>
      <w:marBottom w:val="0"/>
      <w:divBdr>
        <w:top w:val="none" w:sz="0" w:space="0" w:color="auto"/>
        <w:left w:val="none" w:sz="0" w:space="0" w:color="auto"/>
        <w:bottom w:val="none" w:sz="0" w:space="0" w:color="auto"/>
        <w:right w:val="none" w:sz="0" w:space="0" w:color="auto"/>
      </w:divBdr>
    </w:div>
    <w:div w:id="1243682129">
      <w:bodyDiv w:val="1"/>
      <w:marLeft w:val="0"/>
      <w:marRight w:val="0"/>
      <w:marTop w:val="0"/>
      <w:marBottom w:val="0"/>
      <w:divBdr>
        <w:top w:val="none" w:sz="0" w:space="0" w:color="auto"/>
        <w:left w:val="none" w:sz="0" w:space="0" w:color="auto"/>
        <w:bottom w:val="none" w:sz="0" w:space="0" w:color="auto"/>
        <w:right w:val="none" w:sz="0" w:space="0" w:color="auto"/>
      </w:divBdr>
    </w:div>
    <w:div w:id="1284384452">
      <w:bodyDiv w:val="1"/>
      <w:marLeft w:val="0"/>
      <w:marRight w:val="0"/>
      <w:marTop w:val="0"/>
      <w:marBottom w:val="0"/>
      <w:divBdr>
        <w:top w:val="none" w:sz="0" w:space="0" w:color="auto"/>
        <w:left w:val="none" w:sz="0" w:space="0" w:color="auto"/>
        <w:bottom w:val="none" w:sz="0" w:space="0" w:color="auto"/>
        <w:right w:val="none" w:sz="0" w:space="0" w:color="auto"/>
      </w:divBdr>
    </w:div>
    <w:div w:id="1299914142">
      <w:bodyDiv w:val="1"/>
      <w:marLeft w:val="0"/>
      <w:marRight w:val="0"/>
      <w:marTop w:val="0"/>
      <w:marBottom w:val="0"/>
      <w:divBdr>
        <w:top w:val="none" w:sz="0" w:space="0" w:color="auto"/>
        <w:left w:val="none" w:sz="0" w:space="0" w:color="auto"/>
        <w:bottom w:val="none" w:sz="0" w:space="0" w:color="auto"/>
        <w:right w:val="none" w:sz="0" w:space="0" w:color="auto"/>
      </w:divBdr>
    </w:div>
    <w:div w:id="1317958249">
      <w:bodyDiv w:val="1"/>
      <w:marLeft w:val="0"/>
      <w:marRight w:val="0"/>
      <w:marTop w:val="0"/>
      <w:marBottom w:val="0"/>
      <w:divBdr>
        <w:top w:val="none" w:sz="0" w:space="0" w:color="auto"/>
        <w:left w:val="none" w:sz="0" w:space="0" w:color="auto"/>
        <w:bottom w:val="none" w:sz="0" w:space="0" w:color="auto"/>
        <w:right w:val="none" w:sz="0" w:space="0" w:color="auto"/>
      </w:divBdr>
    </w:div>
    <w:div w:id="1399129879">
      <w:bodyDiv w:val="1"/>
      <w:marLeft w:val="0"/>
      <w:marRight w:val="0"/>
      <w:marTop w:val="0"/>
      <w:marBottom w:val="0"/>
      <w:divBdr>
        <w:top w:val="none" w:sz="0" w:space="0" w:color="auto"/>
        <w:left w:val="none" w:sz="0" w:space="0" w:color="auto"/>
        <w:bottom w:val="none" w:sz="0" w:space="0" w:color="auto"/>
        <w:right w:val="none" w:sz="0" w:space="0" w:color="auto"/>
      </w:divBdr>
    </w:div>
    <w:div w:id="1553466566">
      <w:bodyDiv w:val="1"/>
      <w:marLeft w:val="0"/>
      <w:marRight w:val="0"/>
      <w:marTop w:val="0"/>
      <w:marBottom w:val="0"/>
      <w:divBdr>
        <w:top w:val="none" w:sz="0" w:space="0" w:color="auto"/>
        <w:left w:val="none" w:sz="0" w:space="0" w:color="auto"/>
        <w:bottom w:val="none" w:sz="0" w:space="0" w:color="auto"/>
        <w:right w:val="none" w:sz="0" w:space="0" w:color="auto"/>
      </w:divBdr>
    </w:div>
    <w:div w:id="1586648769">
      <w:bodyDiv w:val="1"/>
      <w:marLeft w:val="0"/>
      <w:marRight w:val="0"/>
      <w:marTop w:val="0"/>
      <w:marBottom w:val="0"/>
      <w:divBdr>
        <w:top w:val="none" w:sz="0" w:space="0" w:color="auto"/>
        <w:left w:val="none" w:sz="0" w:space="0" w:color="auto"/>
        <w:bottom w:val="none" w:sz="0" w:space="0" w:color="auto"/>
        <w:right w:val="none" w:sz="0" w:space="0" w:color="auto"/>
      </w:divBdr>
    </w:div>
    <w:div w:id="1620454924">
      <w:bodyDiv w:val="1"/>
      <w:marLeft w:val="0"/>
      <w:marRight w:val="0"/>
      <w:marTop w:val="0"/>
      <w:marBottom w:val="0"/>
      <w:divBdr>
        <w:top w:val="none" w:sz="0" w:space="0" w:color="auto"/>
        <w:left w:val="none" w:sz="0" w:space="0" w:color="auto"/>
        <w:bottom w:val="none" w:sz="0" w:space="0" w:color="auto"/>
        <w:right w:val="none" w:sz="0" w:space="0" w:color="auto"/>
      </w:divBdr>
    </w:div>
    <w:div w:id="1986811477">
      <w:bodyDiv w:val="1"/>
      <w:marLeft w:val="0"/>
      <w:marRight w:val="0"/>
      <w:marTop w:val="0"/>
      <w:marBottom w:val="0"/>
      <w:divBdr>
        <w:top w:val="none" w:sz="0" w:space="0" w:color="auto"/>
        <w:left w:val="none" w:sz="0" w:space="0" w:color="auto"/>
        <w:bottom w:val="none" w:sz="0" w:space="0" w:color="auto"/>
        <w:right w:val="none" w:sz="0" w:space="0" w:color="auto"/>
      </w:divBdr>
    </w:div>
    <w:div w:id="2100783457">
      <w:bodyDiv w:val="1"/>
      <w:marLeft w:val="0"/>
      <w:marRight w:val="0"/>
      <w:marTop w:val="0"/>
      <w:marBottom w:val="0"/>
      <w:divBdr>
        <w:top w:val="none" w:sz="0" w:space="0" w:color="auto"/>
        <w:left w:val="none" w:sz="0" w:space="0" w:color="auto"/>
        <w:bottom w:val="none" w:sz="0" w:space="0" w:color="auto"/>
        <w:right w:val="none" w:sz="0" w:space="0" w:color="auto"/>
      </w:divBdr>
    </w:div>
    <w:div w:id="2104449692">
      <w:bodyDiv w:val="1"/>
      <w:marLeft w:val="0"/>
      <w:marRight w:val="0"/>
      <w:marTop w:val="0"/>
      <w:marBottom w:val="0"/>
      <w:divBdr>
        <w:top w:val="none" w:sz="0" w:space="0" w:color="auto"/>
        <w:left w:val="none" w:sz="0" w:space="0" w:color="auto"/>
        <w:bottom w:val="none" w:sz="0" w:space="0" w:color="auto"/>
        <w:right w:val="none" w:sz="0" w:space="0" w:color="auto"/>
      </w:divBdr>
    </w:div>
    <w:div w:id="2108770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76DC88-D05C-4640-AAB6-0181CC987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12</Pages>
  <Words>4995</Words>
  <Characters>28472</Characters>
  <Application>Microsoft Office Word</Application>
  <DocSecurity>0</DocSecurity>
  <Lines>237</Lines>
  <Paragraphs>66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Vitalii Sarbu</dc:creator>
  <cp:lastModifiedBy>Diana Ciobanas</cp:lastModifiedBy>
  <cp:revision>5</cp:revision>
  <cp:lastPrinted>2025-02-12T12:38:00Z</cp:lastPrinted>
  <dcterms:created xsi:type="dcterms:W3CDTF">2026-09-25T11:07:00Z</dcterms:created>
  <dcterms:modified xsi:type="dcterms:W3CDTF">2026-09-30T10:50:00Z</dcterms:modified>
</cp:coreProperties>
</file>